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017A3">
      <w:pPr>
        <w:spacing w:before="143" w:line="223" w:lineRule="auto"/>
        <w:ind w:right="719" w:firstLine="444" w:firstLineChars="100"/>
        <w:jc w:val="center"/>
        <w:rPr>
          <w:rFonts w:hint="eastAsia" w:ascii="宋体" w:hAnsi="宋体" w:eastAsia="宋体" w:cs="宋体"/>
          <w:b/>
          <w:bCs/>
          <w:spacing w:val="1"/>
          <w:sz w:val="44"/>
          <w:szCs w:val="44"/>
        </w:rPr>
      </w:pPr>
      <w:r>
        <w:rPr>
          <w:rFonts w:ascii="宋体" w:hAnsi="宋体" w:eastAsia="宋体" w:cs="宋体"/>
          <w:b/>
          <w:bCs/>
          <w:spacing w:val="1"/>
          <w:sz w:val="44"/>
          <w:szCs w:val="44"/>
        </w:rPr>
        <w:t>西宁市中央(省级)生态环境保护督察整改任务销号情况公示表</w:t>
      </w:r>
    </w:p>
    <w:tbl>
      <w:tblPr>
        <w:tblStyle w:val="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7033"/>
      </w:tblGrid>
      <w:tr w14:paraId="0DD2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noWrap w:val="0"/>
            <w:vAlign w:val="center"/>
          </w:tcPr>
          <w:p w14:paraId="0633231E">
            <w:pPr>
              <w:jc w:val="center"/>
              <w:rPr>
                <w:rFonts w:ascii="Times New Roman" w:hAnsi="Times New Roman" w:eastAsia="方正黑体_GBK" w:cs="Times New Roman"/>
                <w:sz w:val="24"/>
              </w:rPr>
            </w:pPr>
            <w:r>
              <w:rPr>
                <w:rFonts w:ascii="Times New Roman" w:hAnsi="Times New Roman" w:eastAsia="方正黑体_GBK" w:cs="Times New Roman"/>
                <w:sz w:val="24"/>
              </w:rPr>
              <w:t>整改任务概述</w:t>
            </w:r>
          </w:p>
        </w:tc>
        <w:tc>
          <w:tcPr>
            <w:tcW w:w="7033" w:type="dxa"/>
            <w:noWrap w:val="0"/>
            <w:vAlign w:val="top"/>
          </w:tcPr>
          <w:p w14:paraId="46690713">
            <w:pPr>
              <w:pStyle w:val="4"/>
              <w:pageBreakBefore w:val="0"/>
              <w:widowControl w:val="0"/>
              <w:kinsoku/>
              <w:wordWrap/>
              <w:overflowPunct/>
              <w:topLinePunct w:val="0"/>
              <w:autoSpaceDE/>
              <w:autoSpaceDN/>
              <w:bidi w:val="0"/>
              <w:spacing w:line="240" w:lineRule="auto"/>
              <w:textAlignment w:val="auto"/>
              <w:rPr>
                <w:rFonts w:ascii="仿宋" w:hAnsi="仿宋" w:eastAsia="仿宋"/>
                <w:sz w:val="24"/>
                <w:szCs w:val="21"/>
              </w:rPr>
            </w:pPr>
            <w:r>
              <w:rPr>
                <w:rFonts w:hint="eastAsia" w:ascii="Times New Roman" w:hAnsi="Times New Roman" w:eastAsia="仿宋"/>
                <w:color w:val="000000"/>
                <w:sz w:val="24"/>
              </w:rPr>
              <w:t>西宁市黄河流域生态环境全方位“体检”整改任务清单第1</w:t>
            </w:r>
            <w:r>
              <w:rPr>
                <w:rFonts w:ascii="Times New Roman" w:hAnsi="Times New Roman" w:eastAsia="仿宋"/>
                <w:color w:val="000000"/>
                <w:sz w:val="24"/>
              </w:rPr>
              <w:t>08项</w:t>
            </w:r>
            <w:r>
              <w:rPr>
                <w:rFonts w:hint="eastAsia" w:ascii="Times New Roman" w:hAnsi="Times New Roman" w:eastAsia="仿宋" w:cs="Times New Roman"/>
                <w:color w:val="000000"/>
                <w:sz w:val="24"/>
                <w:lang w:val="en-US" w:eastAsia="zh-CN"/>
              </w:rPr>
              <w:t>：</w:t>
            </w:r>
            <w:r>
              <w:rPr>
                <w:rFonts w:hint="eastAsia" w:ascii="Times New Roman" w:hAnsi="Times New Roman" w:eastAsia="仿宋" w:cs="Times New Roman"/>
                <w:color w:val="000000"/>
                <w:sz w:val="24"/>
              </w:rPr>
              <w:t>田家寨镇石沟峡的麒麟、兴业等4家采石场于2019年7月被注销采矿许可证停产后，矿山生态恢复治理工作一直未开展。</w:t>
            </w:r>
          </w:p>
        </w:tc>
      </w:tr>
      <w:tr w14:paraId="7B56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77" w:type="dxa"/>
            <w:noWrap w:val="0"/>
            <w:vAlign w:val="center"/>
          </w:tcPr>
          <w:p w14:paraId="40FA6A7B">
            <w:pPr>
              <w:jc w:val="center"/>
              <w:rPr>
                <w:rFonts w:ascii="Times New Roman" w:hAnsi="Times New Roman" w:eastAsia="方正黑体_GBK" w:cs="Times New Roman"/>
                <w:sz w:val="24"/>
              </w:rPr>
            </w:pPr>
            <w:r>
              <w:rPr>
                <w:rFonts w:ascii="Times New Roman" w:hAnsi="Times New Roman" w:eastAsia="方正黑体_GBK" w:cs="Times New Roman"/>
                <w:sz w:val="24"/>
              </w:rPr>
              <w:t>整改责任单位</w:t>
            </w:r>
          </w:p>
        </w:tc>
        <w:tc>
          <w:tcPr>
            <w:tcW w:w="7033" w:type="dxa"/>
            <w:noWrap w:val="0"/>
            <w:vAlign w:val="center"/>
          </w:tcPr>
          <w:p w14:paraId="5B77FB2A">
            <w:pPr>
              <w:keepNext/>
              <w:keepLines/>
              <w:widowControl w:val="0"/>
              <w:snapToGrid/>
              <w:jc w:val="center"/>
              <w:outlineLvl w:val="0"/>
              <w:rPr>
                <w:rFonts w:hint="eastAsia" w:ascii="仿宋" w:hAnsi="仿宋" w:eastAsia="仿宋" w:cs="Courier New"/>
                <w:kern w:val="2"/>
                <w:sz w:val="24"/>
                <w:szCs w:val="21"/>
                <w:lang w:val="en-US" w:eastAsia="zh-CN" w:bidi="ar-SA"/>
              </w:rPr>
            </w:pPr>
            <w:r>
              <w:rPr>
                <w:rFonts w:hint="eastAsia" w:ascii="仿宋" w:hAnsi="仿宋" w:eastAsia="仿宋" w:cs="Courier New"/>
                <w:kern w:val="2"/>
                <w:sz w:val="24"/>
                <w:szCs w:val="21"/>
                <w:lang w:val="en-US" w:eastAsia="zh-CN" w:bidi="ar-SA"/>
              </w:rPr>
              <w:t>西宁市湟中区人民政府</w:t>
            </w:r>
          </w:p>
        </w:tc>
      </w:tr>
      <w:tr w14:paraId="3C85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77" w:type="dxa"/>
            <w:noWrap w:val="0"/>
            <w:vAlign w:val="center"/>
          </w:tcPr>
          <w:p w14:paraId="5B2CCCA9">
            <w:pPr>
              <w:jc w:val="center"/>
              <w:rPr>
                <w:rFonts w:ascii="Times New Roman" w:hAnsi="Times New Roman" w:eastAsia="方正黑体_GBK" w:cs="Times New Roman"/>
                <w:sz w:val="24"/>
              </w:rPr>
            </w:pPr>
            <w:r>
              <w:rPr>
                <w:rFonts w:ascii="Times New Roman" w:hAnsi="Times New Roman" w:eastAsia="方正黑体_GBK" w:cs="Times New Roman"/>
                <w:sz w:val="24"/>
              </w:rPr>
              <w:t>整改目标</w:t>
            </w:r>
          </w:p>
        </w:tc>
        <w:tc>
          <w:tcPr>
            <w:tcW w:w="7033" w:type="dxa"/>
            <w:noWrap w:val="0"/>
            <w:vAlign w:val="center"/>
          </w:tcPr>
          <w:p w14:paraId="5D720656">
            <w:pPr>
              <w:keepNext/>
              <w:keepLines/>
              <w:widowControl w:val="0"/>
              <w:snapToGrid/>
              <w:jc w:val="both"/>
              <w:outlineLvl w:val="0"/>
              <w:rPr>
                <w:rFonts w:hint="eastAsia" w:ascii="仿宋" w:hAnsi="仿宋" w:eastAsia="仿宋" w:cs="Courier New"/>
                <w:kern w:val="2"/>
                <w:sz w:val="24"/>
                <w:szCs w:val="21"/>
                <w:lang w:val="en-US" w:eastAsia="zh-CN" w:bidi="ar-SA"/>
              </w:rPr>
            </w:pPr>
            <w:r>
              <w:rPr>
                <w:rFonts w:hint="eastAsia" w:ascii="Times New Roman" w:hAnsi="Times New Roman" w:eastAsia="仿宋" w:cs="Times New Roman"/>
                <w:color w:val="000000"/>
                <w:kern w:val="2"/>
                <w:sz w:val="24"/>
                <w:szCs w:val="24"/>
                <w:lang w:val="en-US" w:eastAsia="zh-CN" w:bidi="ar-SA"/>
              </w:rPr>
              <w:t>完成田家寨石沟峡的麒麟、兴业等4家采石场停产后矿山生态恢复治理工作。</w:t>
            </w:r>
          </w:p>
        </w:tc>
      </w:tr>
      <w:tr w14:paraId="0D63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1777" w:type="dxa"/>
            <w:noWrap w:val="0"/>
            <w:vAlign w:val="center"/>
          </w:tcPr>
          <w:p w14:paraId="4D1DB18B">
            <w:pPr>
              <w:jc w:val="center"/>
              <w:rPr>
                <w:rFonts w:ascii="Times New Roman" w:hAnsi="Times New Roman" w:eastAsia="方正黑体_GBK" w:cs="Times New Roman"/>
                <w:sz w:val="24"/>
              </w:rPr>
            </w:pPr>
            <w:r>
              <w:rPr>
                <w:rFonts w:ascii="Times New Roman" w:hAnsi="Times New Roman" w:eastAsia="方正黑体_GBK" w:cs="Times New Roman"/>
                <w:sz w:val="24"/>
              </w:rPr>
              <w:t>整改措施</w:t>
            </w:r>
            <w:r>
              <w:rPr>
                <w:rFonts w:hint="eastAsia" w:ascii="Times New Roman" w:hAnsi="Times New Roman" w:eastAsia="方正黑体_GBK" w:cs="Times New Roman"/>
                <w:sz w:val="24"/>
                <w:lang w:eastAsia="zh-CN"/>
              </w:rPr>
              <w:t>落实</w:t>
            </w:r>
            <w:r>
              <w:rPr>
                <w:rFonts w:ascii="Times New Roman" w:hAnsi="Times New Roman" w:eastAsia="方正黑体_GBK" w:cs="Times New Roman"/>
                <w:sz w:val="24"/>
              </w:rPr>
              <w:t>及</w:t>
            </w:r>
            <w:r>
              <w:rPr>
                <w:rFonts w:hint="eastAsia" w:ascii="Times New Roman" w:hAnsi="Times New Roman" w:eastAsia="方正黑体_GBK" w:cs="Times New Roman"/>
                <w:sz w:val="24"/>
                <w:lang w:eastAsia="zh-CN"/>
              </w:rPr>
              <w:t>目标完成情况</w:t>
            </w:r>
          </w:p>
        </w:tc>
        <w:tc>
          <w:tcPr>
            <w:tcW w:w="7033" w:type="dxa"/>
            <w:noWrap w:val="0"/>
            <w:vAlign w:val="top"/>
          </w:tcPr>
          <w:p w14:paraId="231B1B92">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 w:hAnsi="仿宋" w:eastAsia="仿宋" w:cs="Courier New"/>
                <w:kern w:val="2"/>
                <w:sz w:val="24"/>
                <w:szCs w:val="21"/>
                <w:lang w:val="en-US" w:eastAsia="zh-CN" w:bidi="ar-SA"/>
              </w:rPr>
            </w:pPr>
          </w:p>
          <w:p w14:paraId="2523F1DB">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 w:hAnsi="仿宋" w:eastAsia="仿宋" w:cs="Courier New"/>
                <w:kern w:val="2"/>
                <w:sz w:val="24"/>
                <w:szCs w:val="21"/>
                <w:lang w:val="en-US" w:eastAsia="zh-CN" w:bidi="ar-SA"/>
              </w:rPr>
            </w:pPr>
          </w:p>
          <w:p w14:paraId="0974D61A">
            <w:pPr>
              <w:keepLines/>
              <w:spacing w:line="320" w:lineRule="exact"/>
              <w:ind w:firstLine="241" w:firstLineChars="100"/>
              <w:outlineLvl w:val="3"/>
              <w:rPr>
                <w:rFonts w:hint="eastAsia" w:ascii="Times New Roman" w:hAnsi="Times New Roman" w:eastAsia="仿宋" w:cs="Times New Roman"/>
                <w:color w:val="000000"/>
                <w:kern w:val="2"/>
                <w:sz w:val="24"/>
                <w:szCs w:val="24"/>
                <w:lang w:val="en-US" w:eastAsia="zh-CN" w:bidi="ar-SA"/>
              </w:rPr>
            </w:pPr>
            <w:r>
              <w:rPr>
                <w:rFonts w:hint="eastAsia" w:ascii="仿宋" w:hAnsi="仿宋" w:eastAsia="仿宋" w:cs="Courier New"/>
                <w:b/>
                <w:bCs/>
                <w:kern w:val="2"/>
                <w:sz w:val="24"/>
                <w:szCs w:val="21"/>
                <w:lang w:val="en-US" w:eastAsia="zh-CN" w:bidi="ar-SA"/>
              </w:rPr>
              <w:t>整改措施：</w:t>
            </w:r>
            <w:r>
              <w:rPr>
                <w:rFonts w:hint="eastAsia" w:ascii="Times New Roman" w:hAnsi="Times New Roman" w:eastAsia="仿宋" w:cs="Times New Roman"/>
                <w:color w:val="000000"/>
                <w:kern w:val="2"/>
                <w:sz w:val="24"/>
                <w:szCs w:val="24"/>
                <w:lang w:val="en-US" w:eastAsia="zh-CN" w:bidi="ar-SA"/>
              </w:rPr>
              <w:t>完成田家寨石沟峡的麒麟、兴业等4家采石场生态恢复环境治理工作。</w:t>
            </w:r>
          </w:p>
          <w:p w14:paraId="66EA08B0">
            <w:pPr>
              <w:keepLines/>
              <w:spacing w:line="320" w:lineRule="exact"/>
              <w:ind w:firstLine="241" w:firstLineChars="100"/>
              <w:outlineLvl w:val="3"/>
              <w:rPr>
                <w:rFonts w:hint="eastAsia" w:ascii="Times New Roman" w:hAnsi="Times New Roman" w:eastAsia="仿宋" w:cs="Times New Roman"/>
                <w:color w:val="000000"/>
                <w:kern w:val="2"/>
                <w:sz w:val="24"/>
                <w:szCs w:val="24"/>
                <w:lang w:val="en-US" w:eastAsia="zh-CN" w:bidi="ar-SA"/>
              </w:rPr>
            </w:pPr>
            <w:r>
              <w:rPr>
                <w:rFonts w:hint="eastAsia" w:ascii="仿宋" w:hAnsi="仿宋" w:eastAsia="仿宋" w:cs="Courier New"/>
                <w:b/>
                <w:bCs/>
                <w:kern w:val="2"/>
                <w:sz w:val="24"/>
                <w:szCs w:val="21"/>
                <w:lang w:val="en-US" w:eastAsia="zh-CN" w:bidi="ar-SA"/>
              </w:rPr>
              <w:t>目标完成情况</w:t>
            </w:r>
            <w:r>
              <w:rPr>
                <w:rFonts w:hint="eastAsia" w:ascii="仿宋" w:hAnsi="仿宋" w:eastAsia="仿宋" w:cs="Courier New"/>
                <w:kern w:val="2"/>
                <w:sz w:val="24"/>
                <w:szCs w:val="21"/>
                <w:lang w:val="en-US" w:eastAsia="zh-CN" w:bidi="ar-SA"/>
              </w:rPr>
              <w:t>：</w:t>
            </w:r>
            <w:r>
              <w:rPr>
                <w:rFonts w:hint="eastAsia" w:ascii="Times New Roman" w:hAnsi="Times New Roman" w:eastAsia="仿宋" w:cs="Times New Roman"/>
                <w:color w:val="000000"/>
                <w:kern w:val="2"/>
                <w:sz w:val="24"/>
                <w:szCs w:val="24"/>
                <w:lang w:val="en-US" w:eastAsia="zh-CN" w:bidi="ar-SA"/>
              </w:rPr>
              <w:t>1.投入湟中区田家寨镇石沟峡历史遗留采石场矿山生态环境恢复治理项目治理资金99.86万元，划分1个单位工程、4个分部工程、60个单元工程进行矿山生态环境恢复治理。</w:t>
            </w:r>
          </w:p>
          <w:p w14:paraId="0F46D496">
            <w:pPr>
              <w:keepLines/>
              <w:spacing w:line="320" w:lineRule="exact"/>
              <w:ind w:firstLine="240" w:firstLineChars="100"/>
              <w:outlineLvl w:val="3"/>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2.完成湟中区田家寨镇石沟峡历史遗留麒麟、兴业等4家采石场坡面浮石清理555.40立方米、坡面碎石清理5716.80立方米、坡脚堆积碎石清理1200立方米、危岩清理3358.90立方米、坡面修整4478.53立方米；块石转运13927.44立方米、大块石破碎3732.11立方米、建筑垃圾清运60立方米；平台面道路翻耕865立方米、道路翻耕459立方米；覆土1381立方米、栽种柽柳1730株、圆柏200株；施肥1554公斤、播撒草籽1500平方米、补播草籽5405平方米；覆盖无纺布6905平方面、设置围栏封育146米、恢复治理标志牌4块。</w:t>
            </w:r>
          </w:p>
          <w:p w14:paraId="25B830F6">
            <w:pPr>
              <w:pStyle w:val="4"/>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仿宋" w:hAnsi="仿宋" w:eastAsia="仿宋" w:cs="Courier New"/>
                <w:kern w:val="2"/>
                <w:sz w:val="24"/>
                <w:szCs w:val="21"/>
                <w:lang w:val="en-US" w:eastAsia="zh-CN" w:bidi="ar-SA"/>
              </w:rPr>
            </w:pPr>
            <w:r>
              <w:rPr>
                <w:rFonts w:hint="eastAsia" w:ascii="Times New Roman" w:hAnsi="Times New Roman" w:eastAsia="仿宋" w:cs="Times New Roman"/>
                <w:color w:val="000000"/>
                <w:kern w:val="2"/>
                <w:sz w:val="24"/>
                <w:szCs w:val="24"/>
                <w:lang w:val="en-US" w:eastAsia="zh-CN" w:bidi="ar-SA"/>
              </w:rPr>
              <w:t>3.湟中区田家寨镇石沟峡历史遗留采石场矿山生态环境恢复治理项目已实施完成，并于2024年11月27日经专家审查，出具“按照治理方案进行危岩清理，底部平整，覆土、栽树、种草等工作，治理效果较好，完成了方案设计内容，达到了设计要求，验收通过”意见。</w:t>
            </w:r>
          </w:p>
        </w:tc>
      </w:tr>
      <w:tr w14:paraId="4812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777" w:type="dxa"/>
            <w:noWrap w:val="0"/>
            <w:vAlign w:val="center"/>
          </w:tcPr>
          <w:p w14:paraId="61D2685F">
            <w:pPr>
              <w:jc w:val="center"/>
              <w:rPr>
                <w:rFonts w:hint="eastAsia" w:ascii="Times New Roman" w:hAnsi="Times New Roman" w:eastAsia="方正黑体_GBK" w:cs="Times New Roman"/>
                <w:sz w:val="24"/>
                <w:lang w:eastAsia="zh-CN"/>
              </w:rPr>
            </w:pPr>
            <w:r>
              <w:rPr>
                <w:rFonts w:hint="eastAsia" w:ascii="Times New Roman" w:hAnsi="Times New Roman" w:eastAsia="方正黑体_GBK" w:cs="Times New Roman"/>
                <w:sz w:val="24"/>
                <w:lang w:eastAsia="zh-CN"/>
              </w:rPr>
              <w:t>公示日期</w:t>
            </w:r>
          </w:p>
        </w:tc>
        <w:tc>
          <w:tcPr>
            <w:tcW w:w="7033" w:type="dxa"/>
            <w:noWrap w:val="0"/>
            <w:vAlign w:val="center"/>
          </w:tcPr>
          <w:p w14:paraId="61374D4D">
            <w:pPr>
              <w:keepNext/>
              <w:keepLines/>
              <w:widowControl w:val="0"/>
              <w:snapToGrid/>
              <w:jc w:val="center"/>
              <w:outlineLvl w:val="0"/>
              <w:rPr>
                <w:rFonts w:hint="default" w:ascii="Times New Roman" w:hAnsi="Times New Roman" w:eastAsia="方正小标宋_GBK" w:cs="Times New Roman"/>
                <w:kern w:val="44"/>
                <w:sz w:val="36"/>
                <w:szCs w:val="24"/>
                <w:lang w:val="en-US" w:eastAsia="zh-CN" w:bidi="ar-SA"/>
              </w:rPr>
            </w:pPr>
            <w:r>
              <w:rPr>
                <w:rFonts w:hint="eastAsia" w:ascii="仿宋" w:hAnsi="仿宋" w:eastAsia="仿宋" w:cs="Courier New"/>
                <w:kern w:val="2"/>
                <w:sz w:val="24"/>
                <w:szCs w:val="21"/>
                <w:lang w:val="en-US" w:eastAsia="zh-CN" w:bidi="ar-SA"/>
              </w:rPr>
              <w:t>2024年12月3日至2024年12月16</w:t>
            </w:r>
            <w:bookmarkStart w:id="0" w:name="_GoBack"/>
            <w:bookmarkEnd w:id="0"/>
            <w:r>
              <w:rPr>
                <w:rFonts w:hint="eastAsia" w:ascii="仿宋" w:hAnsi="仿宋" w:eastAsia="仿宋" w:cs="Courier New"/>
                <w:kern w:val="2"/>
                <w:sz w:val="24"/>
                <w:szCs w:val="21"/>
                <w:lang w:val="en-US" w:eastAsia="zh-CN" w:bidi="ar-SA"/>
              </w:rPr>
              <w:t>日</w:t>
            </w:r>
          </w:p>
        </w:tc>
      </w:tr>
      <w:tr w14:paraId="486F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777" w:type="dxa"/>
            <w:noWrap w:val="0"/>
            <w:vAlign w:val="center"/>
          </w:tcPr>
          <w:p w14:paraId="5CFE3029">
            <w:pPr>
              <w:jc w:val="center"/>
              <w:rPr>
                <w:rFonts w:ascii="Times New Roman" w:hAnsi="Times New Roman" w:eastAsia="方正黑体_GBK" w:cs="Times New Roman"/>
                <w:sz w:val="24"/>
              </w:rPr>
            </w:pPr>
            <w:r>
              <w:rPr>
                <w:rFonts w:ascii="Times New Roman" w:hAnsi="Times New Roman" w:eastAsia="方正黑体_GBK" w:cs="Times New Roman"/>
                <w:sz w:val="24"/>
              </w:rPr>
              <w:t>监督电话</w:t>
            </w:r>
          </w:p>
        </w:tc>
        <w:tc>
          <w:tcPr>
            <w:tcW w:w="7033" w:type="dxa"/>
            <w:noWrap w:val="0"/>
            <w:vAlign w:val="top"/>
          </w:tcPr>
          <w:p w14:paraId="60B846DE">
            <w:pPr>
              <w:keepLines/>
              <w:widowControl w:val="0"/>
              <w:spacing w:line="240" w:lineRule="auto"/>
              <w:jc w:val="center"/>
              <w:outlineLvl w:val="3"/>
              <w:rPr>
                <w:rFonts w:hint="eastAsia" w:ascii="Calibri" w:hAnsi="Calibri" w:eastAsia="仿宋_GB2312" w:cs="Times New Roman"/>
                <w:kern w:val="2"/>
                <w:sz w:val="21"/>
                <w:szCs w:val="24"/>
                <w:lang w:val="en-US" w:eastAsia="zh-CN" w:bidi="ar-SA"/>
              </w:rPr>
            </w:pPr>
          </w:p>
          <w:p w14:paraId="4063A469">
            <w:pPr>
              <w:keepLines/>
              <w:widowControl w:val="0"/>
              <w:spacing w:line="240" w:lineRule="auto"/>
              <w:jc w:val="center"/>
              <w:outlineLvl w:val="3"/>
              <w:rPr>
                <w:rFonts w:ascii="Calibri" w:hAnsi="Calibri" w:eastAsia="仿宋_GB2312" w:cs="Times New Roman"/>
                <w:kern w:val="2"/>
                <w:sz w:val="21"/>
                <w:szCs w:val="24"/>
                <w:lang w:val="en-US" w:eastAsia="zh-CN" w:bidi="ar-SA"/>
              </w:rPr>
            </w:pPr>
            <w:r>
              <w:rPr>
                <w:rFonts w:hint="eastAsia" w:ascii="仿宋" w:hAnsi="仿宋" w:eastAsia="仿宋" w:cs="Courier New"/>
                <w:kern w:val="2"/>
                <w:sz w:val="24"/>
                <w:szCs w:val="21"/>
                <w:lang w:val="en-US" w:eastAsia="zh-CN" w:bidi="ar-SA"/>
              </w:rPr>
              <w:t>0971-2232340</w:t>
            </w:r>
          </w:p>
        </w:tc>
      </w:tr>
    </w:tbl>
    <w:p w14:paraId="1DC48A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ZmZiODUwZTZiZTc5YTdiYmJiYzIxZDcyNDVkNzAifQ=="/>
  </w:docVars>
  <w:rsids>
    <w:rsidRoot w:val="41015510"/>
    <w:rsid w:val="001570FF"/>
    <w:rsid w:val="00936276"/>
    <w:rsid w:val="037C7496"/>
    <w:rsid w:val="05BC3493"/>
    <w:rsid w:val="060914B4"/>
    <w:rsid w:val="073A5CB4"/>
    <w:rsid w:val="07FE491D"/>
    <w:rsid w:val="089332B7"/>
    <w:rsid w:val="08C43471"/>
    <w:rsid w:val="08DB23DC"/>
    <w:rsid w:val="097D5471"/>
    <w:rsid w:val="09FE6E56"/>
    <w:rsid w:val="0AAC240E"/>
    <w:rsid w:val="0B640F3B"/>
    <w:rsid w:val="0BFF2A12"/>
    <w:rsid w:val="0C8353F1"/>
    <w:rsid w:val="0CB10B0C"/>
    <w:rsid w:val="0F3339D5"/>
    <w:rsid w:val="0FFC1742"/>
    <w:rsid w:val="128D714B"/>
    <w:rsid w:val="14025795"/>
    <w:rsid w:val="15593193"/>
    <w:rsid w:val="15AA7E92"/>
    <w:rsid w:val="166242C9"/>
    <w:rsid w:val="17413D54"/>
    <w:rsid w:val="17B13D6D"/>
    <w:rsid w:val="17CF1E32"/>
    <w:rsid w:val="18A1557C"/>
    <w:rsid w:val="197607B7"/>
    <w:rsid w:val="1A6C71F3"/>
    <w:rsid w:val="1B01254E"/>
    <w:rsid w:val="1BD6378F"/>
    <w:rsid w:val="1CAF6CFC"/>
    <w:rsid w:val="1D1117FE"/>
    <w:rsid w:val="1DDC7057"/>
    <w:rsid w:val="1E1F0A51"/>
    <w:rsid w:val="1F4B6242"/>
    <w:rsid w:val="21E31A7A"/>
    <w:rsid w:val="222771D4"/>
    <w:rsid w:val="22680EB9"/>
    <w:rsid w:val="237A5BA7"/>
    <w:rsid w:val="23A128D5"/>
    <w:rsid w:val="24C85C3F"/>
    <w:rsid w:val="25C426FB"/>
    <w:rsid w:val="28360BA1"/>
    <w:rsid w:val="2AF849C9"/>
    <w:rsid w:val="2BA05C5C"/>
    <w:rsid w:val="2CAE28FF"/>
    <w:rsid w:val="30EF4623"/>
    <w:rsid w:val="316F64A7"/>
    <w:rsid w:val="33572FB0"/>
    <w:rsid w:val="347B2CCE"/>
    <w:rsid w:val="349B2BDB"/>
    <w:rsid w:val="34E645EB"/>
    <w:rsid w:val="34FC3E0F"/>
    <w:rsid w:val="3518676F"/>
    <w:rsid w:val="36A04C6E"/>
    <w:rsid w:val="36E62288"/>
    <w:rsid w:val="37211E19"/>
    <w:rsid w:val="37337890"/>
    <w:rsid w:val="375C78C7"/>
    <w:rsid w:val="3B8A781E"/>
    <w:rsid w:val="3D882ABD"/>
    <w:rsid w:val="3DA2751D"/>
    <w:rsid w:val="3DE2000A"/>
    <w:rsid w:val="3EF75647"/>
    <w:rsid w:val="40D55514"/>
    <w:rsid w:val="40F77B80"/>
    <w:rsid w:val="41015510"/>
    <w:rsid w:val="468679DC"/>
    <w:rsid w:val="48253225"/>
    <w:rsid w:val="4AC97E97"/>
    <w:rsid w:val="4AF070CA"/>
    <w:rsid w:val="4B2A5E52"/>
    <w:rsid w:val="4BB33D79"/>
    <w:rsid w:val="4F0E67C1"/>
    <w:rsid w:val="4F4C6AE6"/>
    <w:rsid w:val="51DC765A"/>
    <w:rsid w:val="51F223CA"/>
    <w:rsid w:val="522D3402"/>
    <w:rsid w:val="525C3CE7"/>
    <w:rsid w:val="54141C43"/>
    <w:rsid w:val="54B113CD"/>
    <w:rsid w:val="55E02539"/>
    <w:rsid w:val="5747721B"/>
    <w:rsid w:val="58ED38EB"/>
    <w:rsid w:val="5A2F1CE1"/>
    <w:rsid w:val="5B89601B"/>
    <w:rsid w:val="5C71782A"/>
    <w:rsid w:val="5CD86660"/>
    <w:rsid w:val="60A70823"/>
    <w:rsid w:val="61C96577"/>
    <w:rsid w:val="621974FF"/>
    <w:rsid w:val="65E6594A"/>
    <w:rsid w:val="66095D18"/>
    <w:rsid w:val="66CC067E"/>
    <w:rsid w:val="66E97CE4"/>
    <w:rsid w:val="67A22834"/>
    <w:rsid w:val="694C01BA"/>
    <w:rsid w:val="69763488"/>
    <w:rsid w:val="6C4C0AE7"/>
    <w:rsid w:val="6D745F31"/>
    <w:rsid w:val="6DBD5ADC"/>
    <w:rsid w:val="6E2C05BA"/>
    <w:rsid w:val="6E867CCA"/>
    <w:rsid w:val="71073C49"/>
    <w:rsid w:val="71091363"/>
    <w:rsid w:val="71DE549A"/>
    <w:rsid w:val="71E847F7"/>
    <w:rsid w:val="72253C9E"/>
    <w:rsid w:val="727A5D97"/>
    <w:rsid w:val="72C36CAA"/>
    <w:rsid w:val="73DA61D6"/>
    <w:rsid w:val="73FB626B"/>
    <w:rsid w:val="74171692"/>
    <w:rsid w:val="74F3577F"/>
    <w:rsid w:val="751C3136"/>
    <w:rsid w:val="75C41E12"/>
    <w:rsid w:val="76A54653"/>
    <w:rsid w:val="76EB6EE4"/>
    <w:rsid w:val="7863107C"/>
    <w:rsid w:val="78713799"/>
    <w:rsid w:val="79A61220"/>
    <w:rsid w:val="7AD410DC"/>
    <w:rsid w:val="7B48416D"/>
    <w:rsid w:val="7B4C691B"/>
    <w:rsid w:val="7D893333"/>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napToGrid w:val="0"/>
      <w:jc w:val="center"/>
      <w:outlineLvl w:val="0"/>
    </w:pPr>
    <w:rPr>
      <w:rFonts w:ascii="方正小标宋_GBK" w:hAnsi="方正小标宋_GBK" w:eastAsia="方正小标宋_GBK"/>
      <w:kern w:val="44"/>
      <w:sz w:val="36"/>
    </w:rPr>
  </w:style>
  <w:style w:type="paragraph" w:styleId="3">
    <w:name w:val="heading 4"/>
    <w:basedOn w:val="1"/>
    <w:next w:val="1"/>
    <w:unhideWhenUsed/>
    <w:qFormat/>
    <w:uiPriority w:val="0"/>
    <w:pPr>
      <w:keepLines/>
      <w:spacing w:line="360" w:lineRule="auto"/>
      <w:outlineLvl w:val="3"/>
    </w:pPr>
    <w:rPr>
      <w:rFonts w:eastAsia="仿宋_GB231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eastAsia="宋体" w:cs="Courier New"/>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641</Words>
  <Characters>745</Characters>
  <Lines>0</Lines>
  <Paragraphs>0</Paragraphs>
  <TotalTime>1</TotalTime>
  <ScaleCrop>false</ScaleCrop>
  <LinksUpToDate>false</LinksUpToDate>
  <CharactersWithSpaces>745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2023-10-13T09:55:00Z</dcterms:created>
  <dc:creator>麦子</dc:creator>
  <cp:lastModifiedBy>麦子</cp:lastModifiedBy>
  <cp:lastPrinted>2024-11-26T08:46:00Z</cp:lastPrinted>
  <dcterms:modified xsi:type="dcterms:W3CDTF">2024-12-02T11:13:15Z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C581E6AF420C403FB084EA84F34E7D32_13</vt:lpwstr>
  </property>
</Properties>
</file>