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县级扶贫龙头企业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</w:pPr>
      <w:r>
        <w:rPr>
          <w:rFonts w:hint="eastAsia" w:ascii="方正楷体" w:hAnsi="方正楷体" w:eastAsia="方正楷体" w:cs="方正楷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  <w:t>一）青海西域青稞酒业有限公司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</w:pPr>
      <w:r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  <w:t>（二）青海玉良工艺有限责任公司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</w:pPr>
      <w:r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  <w:t>（三）湟中天源民族工艺制造厂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</w:pPr>
      <w:r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  <w:t>（四）青海海川农副产品有限公司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</w:pPr>
      <w:r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  <w:t>（五）青海缘汇木雕工艺有限公司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</w:pPr>
      <w:r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  <w:t>（六）青海召荣农业科技有限责任公司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</w:pPr>
      <w:r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  <w:t>（七）青海千紫缘种植园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</w:pPr>
      <w:r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  <w:t>（八）青海青麦食品有限公司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</w:pPr>
      <w:r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  <w:t>（九）青海华坊工艺有限公司。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</w:pPr>
      <w:r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  <w:t>（十）青海大宋农业科技股份有限公司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  <w:t>（十一）青海新绿康食品有限责任公司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right"/>
        <w:textAlignment w:val="auto"/>
        <w:outlineLvl w:val="9"/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939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2016-07-11T02:07:52Z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