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i w:val="0"/>
          <w:caps w:val="0"/>
          <w:color w:val="404040"/>
          <w:spacing w:val="0"/>
          <w:sz w:val="44"/>
          <w:szCs w:val="44"/>
        </w:rPr>
      </w:pPr>
      <w:bookmarkStart w:id="0" w:name="_GoBack"/>
      <w:r>
        <w:rPr>
          <w:rStyle w:val="7"/>
          <w:rFonts w:hint="eastAsia" w:ascii="方正小标宋简体" w:hAnsi="方正小标宋简体" w:eastAsia="方正小标宋简体" w:cs="方正小标宋简体"/>
          <w:b w:val="0"/>
          <w:bCs w:val="0"/>
          <w:i w:val="0"/>
          <w:caps w:val="0"/>
          <w:color w:val="000000"/>
          <w:spacing w:val="0"/>
          <w:sz w:val="44"/>
          <w:szCs w:val="44"/>
          <w:lang w:eastAsia="zh-CN"/>
        </w:rPr>
        <w:t>湟中</w:t>
      </w:r>
      <w:r>
        <w:rPr>
          <w:rStyle w:val="7"/>
          <w:rFonts w:hint="eastAsia" w:ascii="方正小标宋简体" w:hAnsi="方正小标宋简体" w:eastAsia="方正小标宋简体" w:cs="方正小标宋简体"/>
          <w:b w:val="0"/>
          <w:bCs w:val="0"/>
          <w:i w:val="0"/>
          <w:caps w:val="0"/>
          <w:color w:val="000000"/>
          <w:spacing w:val="0"/>
          <w:sz w:val="44"/>
          <w:szCs w:val="44"/>
        </w:rPr>
        <w:t>区人力资源</w:t>
      </w:r>
      <w:r>
        <w:rPr>
          <w:rStyle w:val="7"/>
          <w:rFonts w:hint="eastAsia" w:ascii="方正小标宋简体" w:hAnsi="方正小标宋简体" w:eastAsia="方正小标宋简体" w:cs="方正小标宋简体"/>
          <w:b w:val="0"/>
          <w:bCs w:val="0"/>
          <w:i w:val="0"/>
          <w:caps w:val="0"/>
          <w:color w:val="000000"/>
          <w:spacing w:val="0"/>
          <w:sz w:val="44"/>
          <w:szCs w:val="44"/>
          <w:lang w:val="en-US" w:eastAsia="zh-CN"/>
        </w:rPr>
        <w:t>和</w:t>
      </w:r>
      <w:r>
        <w:rPr>
          <w:rStyle w:val="7"/>
          <w:rFonts w:hint="eastAsia" w:ascii="方正小标宋简体" w:hAnsi="方正小标宋简体" w:eastAsia="方正小标宋简体" w:cs="方正小标宋简体"/>
          <w:b w:val="0"/>
          <w:bCs w:val="0"/>
          <w:i w:val="0"/>
          <w:caps w:val="0"/>
          <w:color w:val="000000"/>
          <w:spacing w:val="0"/>
          <w:sz w:val="44"/>
          <w:szCs w:val="44"/>
        </w:rPr>
        <w:t>社会保障局年政府信息公开工作年度报告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404040"/>
          <w:spacing w:val="0"/>
          <w:sz w:val="32"/>
          <w:szCs w:val="32"/>
        </w:rPr>
      </w:pPr>
      <w:r>
        <w:rPr>
          <w:rFonts w:hint="default" w:ascii="Times New Roman" w:hAnsi="Times New Roman" w:cs="Times New Roman"/>
          <w:i w:val="0"/>
          <w:caps w:val="0"/>
          <w:color w:val="40404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宋体" w:cs="Times New Roman"/>
          <w:i w:val="0"/>
          <w:caps w:val="0"/>
          <w:color w:val="404040"/>
          <w:spacing w:val="0"/>
          <w:w w:val="90"/>
          <w:sz w:val="32"/>
          <w:szCs w:val="32"/>
          <w:lang w:val="en-US" w:eastAsia="zh-CN"/>
        </w:rPr>
      </w:pPr>
      <w:r>
        <w:rPr>
          <w:rFonts w:hint="eastAsia" w:ascii="Times New Roman" w:hAnsi="Times New Roman" w:cs="Times New Roman"/>
          <w:i w:val="0"/>
          <w:caps w:val="0"/>
          <w:color w:val="404040"/>
          <w:spacing w:val="0"/>
          <w:w w:val="90"/>
          <w:sz w:val="32"/>
          <w:szCs w:val="32"/>
          <w:lang w:eastAsia="zh-CN"/>
        </w:rPr>
        <w:t>单位名称：</w:t>
      </w:r>
      <w:r>
        <w:rPr>
          <w:rFonts w:hint="eastAsia" w:ascii="Times New Roman" w:hAnsi="Times New Roman" w:cs="Times New Roman"/>
          <w:i w:val="0"/>
          <w:caps w:val="0"/>
          <w:color w:val="404040"/>
          <w:spacing w:val="0"/>
          <w:w w:val="90"/>
          <w:sz w:val="28"/>
          <w:szCs w:val="28"/>
          <w:lang w:eastAsia="zh-CN"/>
        </w:rPr>
        <w:t>西宁市湟中区人力资源和社会保障局</w:t>
      </w:r>
      <w:r>
        <w:rPr>
          <w:rFonts w:hint="eastAsia" w:ascii="Times New Roman" w:hAnsi="Times New Roman" w:cs="Times New Roman"/>
          <w:i w:val="0"/>
          <w:caps w:val="0"/>
          <w:color w:val="404040"/>
          <w:spacing w:val="0"/>
          <w:w w:val="90"/>
          <w:sz w:val="28"/>
          <w:szCs w:val="28"/>
          <w:lang w:val="en-US" w:eastAsia="zh-CN"/>
        </w:rPr>
        <w:t xml:space="preserve">    单位主要负责人签名：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b w:val="0"/>
          <w:bCs/>
          <w:i w:val="0"/>
          <w:caps w:val="0"/>
          <w:color w:val="404040"/>
          <w:spacing w:val="0"/>
          <w:sz w:val="32"/>
          <w:szCs w:val="32"/>
        </w:rPr>
      </w:pPr>
      <w:r>
        <w:rPr>
          <w:rStyle w:val="7"/>
          <w:rFonts w:hint="eastAsia" w:ascii="黑体" w:hAnsi="黑体" w:eastAsia="黑体" w:cs="黑体"/>
          <w:b w:val="0"/>
          <w:bCs/>
          <w:i w:val="0"/>
          <w:caps w:val="0"/>
          <w:color w:val="000000"/>
          <w:spacing w:val="0"/>
          <w:sz w:val="32"/>
          <w:szCs w:val="32"/>
        </w:rPr>
        <w:t>一、总体情况</w:t>
      </w:r>
    </w:p>
    <w:p>
      <w:pPr>
        <w:ind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202</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rPr>
        <w:t>年，在区委、区政府的正确领导下，区人力资源</w:t>
      </w:r>
      <w:r>
        <w:rPr>
          <w:rFonts w:hint="eastAsia" w:ascii="仿宋_GB2312" w:hAnsi="仿宋_GB2312" w:eastAsia="仿宋_GB2312" w:cs="仿宋_GB2312"/>
          <w:b w:val="0"/>
          <w:i w:val="0"/>
          <w:caps w:val="0"/>
          <w:color w:val="000000"/>
          <w:spacing w:val="0"/>
          <w:sz w:val="32"/>
          <w:szCs w:val="32"/>
          <w:lang w:val="en-US" w:eastAsia="zh-CN"/>
        </w:rPr>
        <w:t>和</w:t>
      </w:r>
      <w:r>
        <w:rPr>
          <w:rFonts w:hint="eastAsia" w:ascii="仿宋_GB2312" w:hAnsi="仿宋_GB2312" w:eastAsia="仿宋_GB2312" w:cs="仿宋_GB2312"/>
          <w:b w:val="0"/>
          <w:i w:val="0"/>
          <w:caps w:val="0"/>
          <w:color w:val="000000"/>
          <w:spacing w:val="0"/>
          <w:sz w:val="32"/>
          <w:szCs w:val="32"/>
        </w:rPr>
        <w:t>社会保障局认真贯彻落实</w:t>
      </w:r>
      <w:r>
        <w:rPr>
          <w:rFonts w:hint="eastAsia" w:ascii="仿宋_GB2312" w:hAnsi="仿宋_GB2312" w:eastAsia="仿宋_GB2312" w:cs="仿宋_GB2312"/>
          <w:b w:val="0"/>
          <w:i w:val="0"/>
          <w:caps w:val="0"/>
          <w:color w:val="000000"/>
          <w:spacing w:val="0"/>
          <w:sz w:val="32"/>
          <w:szCs w:val="32"/>
          <w:lang w:eastAsia="zh-CN"/>
        </w:rPr>
        <w:t>《青海省政府信息与政务公开办公室关于转发中华人民共和国政府信息公开工作年度报告格式的通知》（</w:t>
      </w:r>
      <w:r>
        <w:rPr>
          <w:rFonts w:hint="eastAsia" w:ascii="仿宋_GB2312" w:hAnsi="仿宋_GB2312" w:eastAsia="仿宋_GB2312" w:cs="仿宋_GB2312"/>
          <w:b w:val="0"/>
          <w:i w:val="0"/>
          <w:caps w:val="0"/>
          <w:color w:val="000000"/>
          <w:spacing w:val="0"/>
          <w:sz w:val="32"/>
          <w:szCs w:val="32"/>
          <w:lang w:val="en-US" w:eastAsia="zh-CN"/>
        </w:rPr>
        <w:t>青征信公办</w:t>
      </w:r>
      <w:r>
        <w:rPr>
          <w:rFonts w:hint="eastAsia" w:ascii="仿宋_GB2312" w:hAnsi="仿宋_GB2312" w:eastAsia="仿宋_GB2312" w:cs="仿宋_GB2312"/>
          <w:b w:val="0"/>
          <w:i w:val="0"/>
          <w:caps w:val="0"/>
          <w:color w:val="000000"/>
          <w:spacing w:val="0"/>
          <w:sz w:val="32"/>
          <w:szCs w:val="32"/>
          <w:lang w:eastAsia="zh-CN"/>
        </w:rPr>
        <w:t>﹝20</w:t>
      </w:r>
      <w:r>
        <w:rPr>
          <w:rFonts w:hint="eastAsia" w:ascii="仿宋_GB2312" w:hAnsi="仿宋_GB2312" w:eastAsia="仿宋_GB2312" w:cs="仿宋_GB2312"/>
          <w:b w:val="0"/>
          <w:i w:val="0"/>
          <w:caps w:val="0"/>
          <w:color w:val="000000"/>
          <w:spacing w:val="0"/>
          <w:sz w:val="32"/>
          <w:szCs w:val="32"/>
          <w:lang w:val="en-US" w:eastAsia="zh-CN"/>
        </w:rPr>
        <w:t>21</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10</w:t>
      </w:r>
      <w:r>
        <w:rPr>
          <w:rFonts w:hint="eastAsia" w:ascii="仿宋_GB2312" w:hAnsi="仿宋_GB2312" w:eastAsia="仿宋_GB2312" w:cs="仿宋_GB2312"/>
          <w:b w:val="0"/>
          <w:i w:val="0"/>
          <w:caps w:val="0"/>
          <w:color w:val="000000"/>
          <w:spacing w:val="0"/>
          <w:sz w:val="32"/>
          <w:szCs w:val="32"/>
          <w:lang w:eastAsia="zh-CN"/>
        </w:rPr>
        <w:t>号）</w:t>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b w:val="0"/>
          <w:i w:val="0"/>
          <w:caps w:val="0"/>
          <w:color w:val="000000"/>
          <w:spacing w:val="0"/>
          <w:sz w:val="32"/>
          <w:szCs w:val="32"/>
          <w:lang w:eastAsia="zh-CN"/>
        </w:rPr>
        <w:t>始终把政府信息公开工作作为全局的重要工作来抓、切实加强组织领导、不断健全政务信息公开机制、主动公开，强化监督。</w:t>
      </w:r>
      <w:r>
        <w:rPr>
          <w:rFonts w:hint="eastAsia" w:ascii="仿宋_GB2312" w:hAnsi="仿宋_GB2312" w:eastAsia="仿宋_GB2312" w:cs="仿宋_GB2312"/>
          <w:b w:val="0"/>
          <w:i w:val="0"/>
          <w:caps w:val="0"/>
          <w:color w:val="000000"/>
          <w:spacing w:val="0"/>
          <w:sz w:val="32"/>
          <w:szCs w:val="32"/>
        </w:rPr>
        <w:t>现将202</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rPr>
        <w:t>年度政府信息公开工作报告如下。</w:t>
      </w:r>
    </w:p>
    <w:p>
      <w:pPr>
        <w:widowControl/>
        <w:spacing w:line="360" w:lineRule="auto"/>
        <w:ind w:firstLine="482" w:firstLineChars="150"/>
        <w:rPr>
          <w:rFonts w:hint="eastAsia" w:ascii="楷体_GB2312" w:hAnsi="楷体_GB2312" w:eastAsia="楷体_GB2312" w:cs="楷体_GB2312"/>
          <w:b/>
          <w:color w:val="333333"/>
          <w:kern w:val="0"/>
          <w:sz w:val="32"/>
          <w:szCs w:val="32"/>
          <w:lang w:eastAsia="zh-CN"/>
        </w:rPr>
      </w:pPr>
      <w:r>
        <w:rPr>
          <w:rFonts w:hint="eastAsia" w:ascii="楷体_GB2312" w:hAnsi="楷体_GB2312" w:eastAsia="楷体_GB2312" w:cs="楷体_GB2312"/>
          <w:b/>
          <w:color w:val="333333"/>
          <w:kern w:val="0"/>
          <w:sz w:val="32"/>
          <w:szCs w:val="32"/>
        </w:rPr>
        <w:t>（一）</w:t>
      </w:r>
      <w:r>
        <w:rPr>
          <w:rFonts w:hint="eastAsia" w:ascii="楷体_GB2312" w:hAnsi="楷体_GB2312" w:eastAsia="楷体_GB2312" w:cs="楷体_GB2312"/>
          <w:b/>
          <w:color w:val="333333"/>
          <w:kern w:val="0"/>
          <w:sz w:val="32"/>
          <w:szCs w:val="32"/>
          <w:lang w:eastAsia="zh-CN"/>
        </w:rPr>
        <w:t>加强管理</w:t>
      </w:r>
      <w:r>
        <w:rPr>
          <w:rFonts w:hint="eastAsia" w:ascii="楷体_GB2312" w:hAnsi="楷体_GB2312" w:eastAsia="楷体_GB2312" w:cs="楷体_GB2312"/>
          <w:b/>
          <w:color w:val="333333"/>
          <w:kern w:val="0"/>
          <w:sz w:val="32"/>
          <w:szCs w:val="32"/>
        </w:rPr>
        <w:t>，</w:t>
      </w:r>
      <w:r>
        <w:rPr>
          <w:rFonts w:hint="eastAsia" w:ascii="楷体_GB2312" w:hAnsi="楷体_GB2312" w:eastAsia="楷体_GB2312" w:cs="楷体_GB2312"/>
          <w:b/>
          <w:color w:val="333333"/>
          <w:kern w:val="0"/>
          <w:sz w:val="32"/>
          <w:szCs w:val="32"/>
          <w:lang w:eastAsia="zh-CN"/>
        </w:rPr>
        <w:t>深化各项职责</w:t>
      </w:r>
    </w:p>
    <w:p>
      <w:pPr>
        <w:ind w:firstLine="640" w:firstLineChars="200"/>
        <w:rPr>
          <w:rFonts w:hint="eastAsia" w:ascii="仿宋_GB2312" w:hAnsi="宋体" w:eastAsia="仿宋_GB2312"/>
          <w:sz w:val="32"/>
          <w:szCs w:val="32"/>
          <w:lang w:eastAsia="zh-CN"/>
        </w:rPr>
      </w:pPr>
      <w:r>
        <w:rPr>
          <w:rFonts w:hint="eastAsia" w:ascii="仿宋_GB2312" w:hAnsi="宋体" w:eastAsia="仿宋_GB2312" w:cs="宋体"/>
          <w:kern w:val="0"/>
          <w:sz w:val="32"/>
          <w:szCs w:val="32"/>
          <w:lang w:eastAsia="zh-CN"/>
        </w:rPr>
        <w:t>区人社局</w:t>
      </w:r>
      <w:r>
        <w:rPr>
          <w:rFonts w:hint="eastAsia" w:ascii="仿宋_GB2312" w:hAnsi="宋体" w:eastAsia="仿宋_GB2312" w:cs="宋体"/>
          <w:kern w:val="0"/>
          <w:sz w:val="32"/>
          <w:szCs w:val="32"/>
        </w:rPr>
        <w:t>坚持把政府信息公开工作</w:t>
      </w:r>
      <w:r>
        <w:rPr>
          <w:rFonts w:hint="eastAsia" w:ascii="仿宋_GB2312" w:hAnsi="宋体" w:eastAsia="仿宋_GB2312" w:cs="宋体"/>
          <w:kern w:val="0"/>
          <w:sz w:val="32"/>
          <w:szCs w:val="32"/>
          <w:lang w:eastAsia="zh-CN"/>
        </w:rPr>
        <w:t>作为推进依法行政的重要手段，不断扩大公开范围，细化公开内容</w:t>
      </w:r>
      <w:r>
        <w:rPr>
          <w:rFonts w:hint="eastAsia" w:ascii="仿宋_GB2312" w:hAnsi="宋体" w:eastAsia="仿宋_GB2312" w:cs="宋体"/>
          <w:kern w:val="0"/>
          <w:sz w:val="32"/>
          <w:szCs w:val="32"/>
        </w:rPr>
        <w:t>，要求把属于涉及公共利益、公众权益、社会关切及需要社会广泛知晓的，都要依法、全面、准确、及时地做好公开工作</w:t>
      </w:r>
      <w:r>
        <w:rPr>
          <w:rFonts w:hint="eastAsia" w:ascii="仿宋_GB2312" w:hAnsi="宋体" w:eastAsia="仿宋_GB2312" w:cs="宋体"/>
          <w:kern w:val="0"/>
          <w:sz w:val="32"/>
          <w:szCs w:val="32"/>
          <w:lang w:eastAsia="zh-CN"/>
        </w:rPr>
        <w:t>，并</w:t>
      </w:r>
      <w:r>
        <w:rPr>
          <w:rFonts w:hint="eastAsia" w:ascii="仿宋_GB2312" w:hAnsi="ˎ̥" w:eastAsia="仿宋_GB2312" w:cs="宋体"/>
          <w:kern w:val="0"/>
          <w:sz w:val="32"/>
          <w:szCs w:val="28"/>
        </w:rPr>
        <w:t>成立了政务信息公开工作领导小组，</w:t>
      </w:r>
      <w:r>
        <w:rPr>
          <w:rFonts w:hint="eastAsia" w:ascii="仿宋_GB2312" w:hAnsi="宋体" w:eastAsia="仿宋_GB2312" w:cs="宋体"/>
          <w:kern w:val="0"/>
          <w:sz w:val="32"/>
          <w:szCs w:val="32"/>
        </w:rPr>
        <w:t>明确工作任务、工作职责和责任人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形成了</w:t>
      </w:r>
      <w:r>
        <w:rPr>
          <w:rFonts w:hint="eastAsia" w:ascii="仿宋_GB2312" w:hAnsi="宋体" w:eastAsia="仿宋_GB2312" w:cs="宋体"/>
          <w:kern w:val="0"/>
          <w:sz w:val="32"/>
          <w:szCs w:val="32"/>
          <w:lang w:eastAsia="zh-CN"/>
        </w:rPr>
        <w:t>由</w:t>
      </w:r>
      <w:r>
        <w:rPr>
          <w:rFonts w:hint="eastAsia" w:ascii="仿宋_GB2312" w:hAnsi="宋体" w:eastAsia="仿宋_GB2312" w:cs="宋体"/>
          <w:kern w:val="0"/>
          <w:sz w:val="32"/>
          <w:szCs w:val="32"/>
        </w:rPr>
        <w:t>主要领导亲自抓、分管领导具体抓, 各科室抓落实</w:t>
      </w:r>
      <w:r>
        <w:rPr>
          <w:rFonts w:hint="eastAsia" w:ascii="仿宋_GB2312" w:hAnsi="宋体" w:eastAsia="仿宋_GB2312" w:cs="宋体"/>
          <w:kern w:val="0"/>
          <w:sz w:val="32"/>
          <w:szCs w:val="32"/>
          <w:lang w:eastAsia="zh-CN"/>
        </w:rPr>
        <w:t>、层层传导压力</w:t>
      </w:r>
      <w:r>
        <w:rPr>
          <w:rFonts w:hint="eastAsia" w:ascii="仿宋_GB2312" w:hAnsi="宋体" w:eastAsia="仿宋_GB2312" w:cs="宋体"/>
          <w:kern w:val="0"/>
          <w:sz w:val="32"/>
          <w:szCs w:val="32"/>
        </w:rPr>
        <w:t>的工作机制</w:t>
      </w:r>
      <w:r>
        <w:rPr>
          <w:rFonts w:hint="eastAsia" w:ascii="仿宋_GB2312" w:hAnsi="宋体" w:eastAsia="仿宋_GB2312" w:cs="宋体"/>
          <w:kern w:val="0"/>
          <w:sz w:val="32"/>
          <w:szCs w:val="32"/>
          <w:lang w:eastAsia="zh-CN"/>
        </w:rPr>
        <w:t>，确保政务信息公开工作抓出实效。</w:t>
      </w:r>
    </w:p>
    <w:p>
      <w:pPr>
        <w:widowControl/>
        <w:numPr>
          <w:ilvl w:val="0"/>
          <w:numId w:val="0"/>
        </w:numPr>
        <w:spacing w:line="360" w:lineRule="auto"/>
        <w:ind w:firstLine="643" w:firstLineChars="200"/>
        <w:rPr>
          <w:rFonts w:hint="eastAsia" w:ascii="楷体_GB2312" w:hAnsi="楷体_GB2312" w:eastAsia="楷体_GB2312" w:cs="楷体_GB2312"/>
          <w:b/>
          <w:color w:val="333333"/>
          <w:kern w:val="0"/>
          <w:sz w:val="32"/>
          <w:szCs w:val="32"/>
          <w:lang w:eastAsia="zh-CN"/>
        </w:rPr>
      </w:pPr>
      <w:r>
        <w:rPr>
          <w:rFonts w:hint="eastAsia" w:ascii="楷体_GB2312" w:hAnsi="楷体_GB2312" w:eastAsia="楷体_GB2312" w:cs="楷体_GB2312"/>
          <w:b/>
          <w:color w:val="333333"/>
          <w:kern w:val="0"/>
          <w:sz w:val="32"/>
          <w:szCs w:val="32"/>
          <w:lang w:eastAsia="zh-CN"/>
        </w:rPr>
        <w:t>（二）统筹推进</w:t>
      </w:r>
      <w:r>
        <w:rPr>
          <w:rFonts w:hint="eastAsia" w:ascii="楷体_GB2312" w:hAnsi="楷体_GB2312" w:eastAsia="楷体_GB2312" w:cs="楷体_GB2312"/>
          <w:b/>
          <w:color w:val="333333"/>
          <w:kern w:val="0"/>
          <w:sz w:val="32"/>
          <w:szCs w:val="32"/>
        </w:rPr>
        <w:t>，</w:t>
      </w:r>
      <w:r>
        <w:rPr>
          <w:rFonts w:hint="eastAsia" w:ascii="楷体_GB2312" w:hAnsi="楷体_GB2312" w:eastAsia="楷体_GB2312" w:cs="楷体_GB2312"/>
          <w:b/>
          <w:color w:val="333333"/>
          <w:kern w:val="0"/>
          <w:sz w:val="32"/>
          <w:szCs w:val="32"/>
          <w:lang w:eastAsia="zh-CN"/>
        </w:rPr>
        <w:t>压实工作责任</w:t>
      </w:r>
    </w:p>
    <w:p>
      <w:pPr>
        <w:widowControl/>
        <w:numPr>
          <w:ilvl w:val="0"/>
          <w:numId w:val="0"/>
        </w:numPr>
        <w:spacing w:line="360" w:lineRule="auto"/>
        <w:ind w:firstLine="64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区人社局切实采取多种措施统筹推进政务信息全面化。</w:t>
      </w:r>
      <w:r>
        <w:rPr>
          <w:rFonts w:hint="eastAsia" w:ascii="仿宋_GB2312" w:hAnsi="宋体" w:eastAsia="仿宋_GB2312" w:cs="宋体"/>
          <w:b/>
          <w:bCs/>
          <w:kern w:val="0"/>
          <w:sz w:val="32"/>
          <w:szCs w:val="32"/>
          <w:lang w:val="en-US" w:eastAsia="zh-CN"/>
        </w:rPr>
        <w:t>一是</w:t>
      </w:r>
      <w:r>
        <w:rPr>
          <w:rFonts w:hint="eastAsia" w:ascii="仿宋_GB2312" w:hAnsi="宋体" w:eastAsia="仿宋_GB2312" w:cs="宋体"/>
          <w:kern w:val="0"/>
          <w:sz w:val="32"/>
          <w:szCs w:val="32"/>
          <w:lang w:val="en-US" w:eastAsia="zh-CN"/>
        </w:rPr>
        <w:t>围绕人才管理、劳动监察、劳动保障、社会保险、就业服务等密切涉及群众利益的领域，发放宣传手册、利用网络媒体等多种形式进一步提升人民群众的知晓率。</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通过局党组通报、政务公示公布等方式及时公开财务状况，主动接受干部群众的监督。</w:t>
      </w:r>
    </w:p>
    <w:p>
      <w:pPr>
        <w:widowControl/>
        <w:numPr>
          <w:ilvl w:val="0"/>
          <w:numId w:val="1"/>
        </w:numPr>
        <w:spacing w:line="360" w:lineRule="auto"/>
        <w:ind w:left="0" w:leftChars="0" w:firstLine="643" w:firstLineChars="200"/>
        <w:rPr>
          <w:rFonts w:hint="eastAsia" w:ascii="仿宋_GB2312" w:hAnsi="宋体" w:eastAsia="仿宋_GB2312" w:cs="宋体"/>
          <w:b/>
          <w:color w:val="333333"/>
          <w:kern w:val="0"/>
          <w:sz w:val="32"/>
          <w:szCs w:val="32"/>
          <w:lang w:val="en-US" w:eastAsia="zh-CN"/>
        </w:rPr>
      </w:pPr>
      <w:r>
        <w:rPr>
          <w:rFonts w:hint="eastAsia" w:ascii="仿宋_GB2312" w:hAnsi="宋体" w:eastAsia="仿宋_GB2312" w:cs="宋体"/>
          <w:b/>
          <w:color w:val="333333"/>
          <w:kern w:val="0"/>
          <w:sz w:val="32"/>
          <w:szCs w:val="32"/>
          <w:lang w:val="en-US" w:eastAsia="zh-CN"/>
        </w:rPr>
        <w:t>规范职责，保障监察机制</w:t>
      </w:r>
    </w:p>
    <w:p>
      <w:pPr>
        <w:widowControl/>
        <w:numPr>
          <w:ilvl w:val="0"/>
          <w:numId w:val="0"/>
        </w:numPr>
        <w:spacing w:line="360" w:lineRule="auto"/>
        <w:rPr>
          <w:rFonts w:hint="default" w:ascii="仿宋_GB2312" w:hAnsi="宋体" w:eastAsia="仿宋_GB2312" w:cs="宋体"/>
          <w:kern w:val="0"/>
          <w:sz w:val="32"/>
          <w:szCs w:val="32"/>
          <w:lang w:val="en-US" w:eastAsia="zh-CN"/>
        </w:rPr>
      </w:pPr>
      <w:r>
        <w:rPr>
          <w:rFonts w:hint="eastAsia" w:ascii="仿宋_GB2312" w:hAnsi="宋体" w:eastAsia="仿宋_GB2312" w:cs="宋体"/>
          <w:b/>
          <w:color w:val="333333"/>
          <w:kern w:val="0"/>
          <w:sz w:val="32"/>
          <w:szCs w:val="32"/>
          <w:lang w:val="en-US" w:eastAsia="zh-CN"/>
        </w:rPr>
        <w:t xml:space="preserve">     </w:t>
      </w:r>
      <w:r>
        <w:rPr>
          <w:rFonts w:hint="eastAsia" w:ascii="仿宋_GB2312" w:hAnsi="宋体" w:eastAsia="仿宋_GB2312" w:cs="宋体"/>
          <w:kern w:val="0"/>
          <w:sz w:val="32"/>
          <w:szCs w:val="32"/>
          <w:lang w:val="en-US" w:eastAsia="zh-CN"/>
        </w:rPr>
        <w:t xml:space="preserve">为切实做好政务公开工作，深化公开内容，区人社局以制度为抓手，按照职能分工，狠抓履职尽责，切实将工作落到实处。同时加强对信息公开工作的督查指导，研究解决工作中出现的新情况和新问题，促进信息公开工作有序、有效开展。建立和完善政府信息发布协调与处理机制,进一步使得政务信息公开工作规范化、制度化。 </w:t>
      </w:r>
    </w:p>
    <w:p>
      <w:pPr>
        <w:widowControl/>
        <w:numPr>
          <w:ilvl w:val="0"/>
          <w:numId w:val="0"/>
        </w:numPr>
        <w:spacing w:line="360" w:lineRule="auto"/>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二、主动公开政府信息情况</w:t>
      </w:r>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3113"/>
        <w:gridCol w:w="1875"/>
        <w:gridCol w:w="1419"/>
        <w:gridCol w:w="173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0" w:firstLineChars="1600"/>
              <w:jc w:val="left"/>
            </w:pPr>
            <w:r>
              <w:rPr>
                <w:rFonts w:hint="eastAsia" w:ascii="宋体" w:hAnsi="宋体" w:eastAsia="宋体" w:cs="宋体"/>
                <w:i w:val="0"/>
                <w:caps w:val="0"/>
                <w:color w:val="000000"/>
                <w:spacing w:val="0"/>
                <w:sz w:val="20"/>
                <w:szCs w:val="20"/>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宋体" w:hAnsi="宋体" w:eastAsia="宋体" w:cs="宋体"/>
                <w:i w:val="0"/>
                <w:caps w:val="0"/>
                <w:color w:val="000000"/>
                <w:spacing w:val="0"/>
                <w:sz w:val="20"/>
                <w:szCs w:val="20"/>
              </w:rPr>
              <w:t>本年</w:t>
            </w:r>
            <w:r>
              <w:rPr>
                <w:rFonts w:hint="eastAsia" w:ascii="宋体" w:hAnsi="宋体" w:cs="宋体"/>
                <w:i w:val="0"/>
                <w:caps w:val="0"/>
                <w:color w:val="000000"/>
                <w:spacing w:val="0"/>
                <w:sz w:val="20"/>
                <w:szCs w:val="20"/>
                <w:lang w:val="en-US" w:eastAsia="zh-CN"/>
              </w:rPr>
              <w:t>制发件数</w:t>
            </w:r>
          </w:p>
        </w:tc>
        <w:tc>
          <w:tcPr>
            <w:tcW w:w="14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eastAsia="宋体" w:cs="宋体"/>
                <w:i w:val="0"/>
                <w:caps w:val="0"/>
                <w:color w:val="000000"/>
                <w:spacing w:val="0"/>
                <w:sz w:val="20"/>
                <w:szCs w:val="20"/>
              </w:rPr>
              <w:t>本年</w:t>
            </w:r>
            <w:r>
              <w:rPr>
                <w:rFonts w:hint="eastAsia" w:ascii="宋体" w:hAnsi="宋体" w:cs="宋体"/>
                <w:i w:val="0"/>
                <w:caps w:val="0"/>
                <w:color w:val="000000"/>
                <w:spacing w:val="0"/>
                <w:sz w:val="20"/>
                <w:szCs w:val="20"/>
                <w:lang w:eastAsia="zh-CN"/>
              </w:rPr>
              <w:t>废止件数</w:t>
            </w:r>
          </w:p>
        </w:tc>
        <w:tc>
          <w:tcPr>
            <w:tcW w:w="1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cs="宋体"/>
                <w:i w:val="0"/>
                <w:caps w:val="0"/>
                <w:color w:val="000000"/>
                <w:spacing w:val="0"/>
                <w:sz w:val="20"/>
                <w:szCs w:val="20"/>
                <w:lang w:eastAsia="zh-CN"/>
              </w:rPr>
              <w:t>现行有效件数</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141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1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141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17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信息内容</w:t>
            </w:r>
          </w:p>
        </w:tc>
        <w:tc>
          <w:tcPr>
            <w:tcW w:w="5027" w:type="dxa"/>
            <w:gridSpan w:val="3"/>
            <w:tcBorders>
              <w:top w:val="single" w:color="auto" w:sz="8" w:space="0"/>
              <w:left w:val="nil"/>
              <w:bottom w:val="single" w:color="auto" w:sz="4"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cs="宋体"/>
                <w:i w:val="0"/>
                <w:caps w:val="0"/>
                <w:color w:val="000000"/>
                <w:spacing w:val="0"/>
                <w:sz w:val="20"/>
                <w:szCs w:val="20"/>
                <w:lang w:eastAsia="zh-CN"/>
              </w:rPr>
              <w:t>本年处理决定数量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8" w:hRule="atLeast"/>
          <w:jc w:val="center"/>
        </w:trPr>
        <w:tc>
          <w:tcPr>
            <w:tcW w:w="3113" w:type="dxa"/>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行政许可</w:t>
            </w:r>
          </w:p>
        </w:tc>
        <w:tc>
          <w:tcPr>
            <w:tcW w:w="5027" w:type="dxa"/>
            <w:gridSpan w:val="3"/>
            <w:tcBorders>
              <w:top w:val="single" w:color="auto" w:sz="4" w:space="0"/>
              <w:left w:val="nil"/>
              <w:bottom w:val="single" w:color="auto" w:sz="8"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000000"/>
                <w:spacing w:val="0"/>
                <w:sz w:val="20"/>
                <w:szCs w:val="20"/>
                <w:lang w:val="en-US" w:eastAsia="zh-CN"/>
              </w:rPr>
            </w:pPr>
            <w:r>
              <w:rPr>
                <w:rFonts w:hint="eastAsia" w:ascii="宋体" w:hAnsi="宋体" w:cs="宋体"/>
                <w:i w:val="0"/>
                <w:caps w:val="0"/>
                <w:color w:val="000000"/>
                <w:spacing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8140" w:type="dxa"/>
            <w:gridSpan w:val="4"/>
            <w:tcBorders>
              <w:top w:val="nil"/>
              <w:left w:val="single" w:color="auto" w:sz="4" w:space="0"/>
              <w:bottom w:val="single" w:color="auto" w:sz="8" w:space="0"/>
              <w:right w:val="single" w:color="auto" w:sz="4"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信息内容</w:t>
            </w:r>
          </w:p>
        </w:tc>
        <w:tc>
          <w:tcPr>
            <w:tcW w:w="5027" w:type="dxa"/>
            <w:gridSpan w:val="3"/>
            <w:tcBorders>
              <w:top w:val="single" w:color="auto" w:sz="8" w:space="0"/>
              <w:left w:val="nil"/>
              <w:bottom w:val="single" w:color="auto" w:sz="8"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i w:val="0"/>
                <w:caps w:val="0"/>
                <w:color w:val="000000"/>
                <w:spacing w:val="0"/>
                <w:sz w:val="20"/>
                <w:szCs w:val="20"/>
                <w:lang w:eastAsia="zh-CN"/>
              </w:rPr>
              <w:t>本年</w:t>
            </w:r>
            <w:r>
              <w:rPr>
                <w:rFonts w:hint="eastAsia" w:ascii="宋体" w:hAnsi="宋体" w:eastAsia="宋体" w:cs="宋体"/>
                <w:i w:val="0"/>
                <w:caps w:val="0"/>
                <w:color w:val="000000"/>
                <w:spacing w:val="0"/>
                <w:sz w:val="20"/>
                <w:szCs w:val="20"/>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行政处罚</w:t>
            </w:r>
          </w:p>
        </w:tc>
        <w:tc>
          <w:tcPr>
            <w:tcW w:w="5027" w:type="dxa"/>
            <w:gridSpan w:val="3"/>
            <w:tcBorders>
              <w:top w:val="nil"/>
              <w:left w:val="nil"/>
              <w:bottom w:val="single" w:color="auto" w:sz="8"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i w:val="0"/>
                <w:caps w:val="0"/>
                <w:color w:val="000000"/>
                <w:spacing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09" w:hRule="atLeast"/>
          <w:jc w:val="center"/>
        </w:trPr>
        <w:tc>
          <w:tcPr>
            <w:tcW w:w="3113"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行政强制</w:t>
            </w:r>
          </w:p>
        </w:tc>
        <w:tc>
          <w:tcPr>
            <w:tcW w:w="5027" w:type="dxa"/>
            <w:gridSpan w:val="3"/>
            <w:tcBorders>
              <w:top w:val="nil"/>
              <w:left w:val="nil"/>
              <w:bottom w:val="single" w:color="auto" w:sz="8"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i w:val="0"/>
                <w:caps w:val="0"/>
                <w:color w:val="000000"/>
                <w:spacing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4" w:space="0"/>
              <w:bottom w:val="single" w:color="auto" w:sz="8" w:space="0"/>
              <w:right w:val="single" w:color="auto" w:sz="4" w:space="0"/>
            </w:tcBorders>
            <w:shd w:val="clear" w:color="auto" w:fill="C6D9F1"/>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87" w:hRule="atLeast"/>
          <w:jc w:val="center"/>
        </w:trPr>
        <w:tc>
          <w:tcPr>
            <w:tcW w:w="3113"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信息内容</w:t>
            </w:r>
          </w:p>
        </w:tc>
        <w:tc>
          <w:tcPr>
            <w:tcW w:w="5027" w:type="dxa"/>
            <w:gridSpan w:val="3"/>
            <w:tcBorders>
              <w:top w:val="nil"/>
              <w:left w:val="nil"/>
              <w:bottom w:val="single" w:color="auto" w:sz="8"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cs="宋体"/>
                <w:i w:val="0"/>
                <w:caps w:val="0"/>
                <w:color w:val="000000"/>
                <w:spacing w:val="0"/>
                <w:sz w:val="20"/>
                <w:szCs w:val="20"/>
                <w:lang w:eastAsia="zh-CN"/>
              </w:rPr>
              <w:t>本</w:t>
            </w:r>
            <w:r>
              <w:rPr>
                <w:rFonts w:hint="eastAsia" w:ascii="宋体" w:hAnsi="宋体" w:eastAsia="宋体" w:cs="宋体"/>
                <w:i w:val="0"/>
                <w:caps w:val="0"/>
                <w:color w:val="000000"/>
                <w:spacing w:val="0"/>
                <w:sz w:val="20"/>
                <w:szCs w:val="20"/>
              </w:rPr>
              <w:t>年</w:t>
            </w:r>
            <w:r>
              <w:rPr>
                <w:rFonts w:hint="eastAsia" w:ascii="宋体" w:hAnsi="宋体" w:cs="宋体"/>
                <w:i w:val="0"/>
                <w:caps w:val="0"/>
                <w:color w:val="000000"/>
                <w:spacing w:val="0"/>
                <w:sz w:val="20"/>
                <w:szCs w:val="20"/>
                <w:lang w:eastAsia="zh-CN"/>
              </w:rPr>
              <w:t>收费金额（单位：万元）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4" w:space="0"/>
              <w:bottom w:val="single" w:color="auto" w:sz="4" w:space="0"/>
              <w:right w:val="single" w:color="auto" w:sz="8"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行政事业性收费</w:t>
            </w:r>
          </w:p>
        </w:tc>
        <w:tc>
          <w:tcPr>
            <w:tcW w:w="5027" w:type="dxa"/>
            <w:gridSpan w:val="3"/>
            <w:tcBorders>
              <w:top w:val="nil"/>
              <w:left w:val="nil"/>
              <w:bottom w:val="single" w:color="auto" w:sz="4" w:space="0"/>
              <w:right w:val="single" w:color="auto" w:sz="4" w:space="0"/>
            </w:tcBorders>
            <w:noWrap/>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404040"/>
          <w:spacing w:val="0"/>
          <w:sz w:val="20"/>
          <w:szCs w:val="20"/>
        </w:rPr>
      </w:pPr>
      <w:r>
        <w:rPr>
          <w:rFonts w:hint="default" w:ascii="Times New Roman" w:hAnsi="Times New Roman" w:cs="Times New Roman"/>
          <w:i w:val="0"/>
          <w:caps w:val="0"/>
          <w:color w:val="404040"/>
          <w:spacing w:val="0"/>
          <w:sz w:val="20"/>
          <w:szCs w:val="2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三、收到和处理政府信息公开申请情况</w:t>
      </w:r>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816"/>
        <w:gridCol w:w="1823"/>
        <w:gridCol w:w="717"/>
        <w:gridCol w:w="667"/>
        <w:gridCol w:w="667"/>
        <w:gridCol w:w="717"/>
        <w:gridCol w:w="855"/>
        <w:gridCol w:w="629"/>
        <w:gridCol w:w="61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07" w:hRule="atLeast"/>
          <w:jc w:val="center"/>
        </w:trPr>
        <w:tc>
          <w:tcPr>
            <w:tcW w:w="3255"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（本列数据的勾稽关系为：第一项加第二项之和，等于第三项加第四项之和）</w:t>
            </w:r>
          </w:p>
        </w:tc>
        <w:tc>
          <w:tcPr>
            <w:tcW w:w="486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3255" w:type="dxa"/>
            <w:gridSpan w:val="3"/>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71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自然人</w:t>
            </w:r>
          </w:p>
        </w:tc>
        <w:tc>
          <w:tcPr>
            <w:tcW w:w="353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法人或其他组织</w:t>
            </w:r>
          </w:p>
        </w:tc>
        <w:tc>
          <w:tcPr>
            <w:tcW w:w="61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3255" w:type="dxa"/>
            <w:gridSpan w:val="3"/>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717"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商业企业</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科研机构</w:t>
            </w:r>
          </w:p>
        </w:tc>
        <w:tc>
          <w:tcPr>
            <w:tcW w:w="7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社会公益组织</w:t>
            </w:r>
          </w:p>
        </w:tc>
        <w:tc>
          <w:tcPr>
            <w:tcW w:w="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法律服务机构</w:t>
            </w:r>
          </w:p>
        </w:tc>
        <w:tc>
          <w:tcPr>
            <w:tcW w:w="6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其他</w:t>
            </w:r>
          </w:p>
        </w:tc>
        <w:tc>
          <w:tcPr>
            <w:tcW w:w="616"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07" w:hRule="atLeast"/>
          <w:jc w:val="center"/>
        </w:trPr>
        <w:tc>
          <w:tcPr>
            <w:tcW w:w="3255"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一、本年新收政府信息公开申请数量</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97" w:hRule="atLeast"/>
          <w:jc w:val="center"/>
        </w:trPr>
        <w:tc>
          <w:tcPr>
            <w:tcW w:w="3255"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二、上年结转政府信息公开申请数量</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07" w:hRule="atLeast"/>
          <w:jc w:val="center"/>
        </w:trPr>
        <w:tc>
          <w:tcPr>
            <w:tcW w:w="616" w:type="dxa"/>
            <w:vMerge w:val="restar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三、本年度办理结果</w:t>
            </w:r>
          </w:p>
        </w:tc>
        <w:tc>
          <w:tcPr>
            <w:tcW w:w="263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caps w:val="0"/>
                <w:color w:val="000000"/>
                <w:spacing w:val="0"/>
                <w:sz w:val="20"/>
                <w:szCs w:val="20"/>
              </w:rPr>
              <w:t>（一）予以公开</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263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（二）部分公开（区分处理的，只计这一情形，不计其他情形）</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（三）不予公开</w:t>
            </w: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1.属于国家秘密</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2.其他法律行政法规禁止公开</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3.危及“三安全一稳定”</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4.保护第三方合法权益</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5.属于三类内部事务信息</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6.属于四类过程性信息</w:t>
            </w:r>
          </w:p>
        </w:tc>
        <w:tc>
          <w:tcPr>
            <w:tcW w:w="71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7.属于行政执法案卷</w:t>
            </w:r>
          </w:p>
        </w:tc>
        <w:tc>
          <w:tcPr>
            <w:tcW w:w="71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8.属于行政查询事项</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（四）无法提供</w:t>
            </w: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1.本机关不掌握相关政府信息</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2.没有现成信息需要另行制作</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3.补正后申请内容仍不明确</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（五）不予处理</w:t>
            </w: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1.信访举报投诉类申请</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2.重复申请</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3.要求提供公开出版物</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4.无正当理由大量反复申请</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5.要求行政机关确认或重新出具已获取信息</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i w:val="0"/>
                <w:caps w:val="0"/>
                <w:color w:val="000000"/>
                <w:spacing w:val="0"/>
                <w:sz w:val="20"/>
                <w:szCs w:val="20"/>
              </w:rPr>
            </w:pPr>
            <w:r>
              <w:rPr>
                <w:rFonts w:hint="eastAsia" w:ascii="楷体" w:hAnsi="楷体" w:eastAsia="楷体" w:cs="楷体"/>
                <w:i w:val="0"/>
                <w:caps w:val="0"/>
                <w:color w:val="000000"/>
                <w:spacing w:val="0"/>
                <w:sz w:val="20"/>
                <w:szCs w:val="20"/>
              </w:rPr>
              <w:t>（六）其他处理</w:t>
            </w: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楷体" w:hAnsi="楷体" w:eastAsia="楷体" w:cs="楷体"/>
                <w:i w:val="0"/>
                <w:caps w:val="0"/>
                <w:color w:val="000000"/>
                <w:spacing w:val="0"/>
                <w:sz w:val="20"/>
                <w:szCs w:val="20"/>
                <w:lang w:val="en-US" w:eastAsia="zh-CN"/>
              </w:rPr>
            </w:pPr>
            <w:r>
              <w:rPr>
                <w:rFonts w:hint="eastAsia" w:ascii="楷体" w:hAnsi="楷体" w:eastAsia="楷体" w:cs="楷体"/>
                <w:i w:val="0"/>
                <w:caps w:val="0"/>
                <w:color w:val="000000"/>
                <w:spacing w:val="0"/>
                <w:sz w:val="20"/>
                <w:szCs w:val="20"/>
                <w:lang w:val="en-US" w:eastAsia="zh-CN"/>
              </w:rPr>
              <w:t>1.申请人无正当理由逾期不补正、行政机关不再处理其政府信息公开申请</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sz w:val="20"/>
                <w:szCs w:val="20"/>
                <w:lang w:val="en-US" w:eastAsia="zh-CN"/>
              </w:rPr>
            </w:pPr>
            <w:r>
              <w:rPr>
                <w:rFonts w:hint="eastAsia" w:ascii="宋体" w:hAnsi="宋体" w:cs="宋体"/>
                <w:i w:val="0"/>
                <w:caps w:val="0"/>
                <w:color w:val="000000"/>
                <w:spacing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i w:val="0"/>
                <w:caps w:val="0"/>
                <w:color w:val="000000"/>
                <w:spacing w:val="0"/>
                <w:sz w:val="20"/>
                <w:szCs w:val="20"/>
                <w:lang w:val="en-US" w:eastAsia="zh-CN"/>
              </w:rPr>
            </w:pPr>
            <w:r>
              <w:rPr>
                <w:rFonts w:hint="eastAsia" w:ascii="楷体" w:hAnsi="楷体" w:eastAsia="楷体" w:cs="楷体"/>
                <w:i w:val="0"/>
                <w:caps w:val="0"/>
                <w:color w:val="000000"/>
                <w:spacing w:val="0"/>
                <w:sz w:val="20"/>
                <w:szCs w:val="20"/>
                <w:lang w:val="en-US" w:eastAsia="zh-CN"/>
              </w:rPr>
              <w:t>2.申请人逾期未按收费通知要求缴纳费用，行政机关不再处理其政府信息公开申请</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i w:val="0"/>
                <w:caps w:val="0"/>
                <w:color w:val="404040"/>
                <w:spacing w:val="0"/>
                <w:sz w:val="21"/>
                <w:szCs w:val="21"/>
                <w:lang w:val="en-US" w:eastAsia="zh-CN"/>
              </w:rPr>
            </w:pPr>
            <w:r>
              <w:rPr>
                <w:rFonts w:hint="eastAsia" w:ascii="Times New Roman" w:hAnsi="Times New Roman" w:cs="Times New Roman"/>
                <w:i w:val="0"/>
                <w:caps w:val="0"/>
                <w:color w:val="404040"/>
                <w:spacing w:val="0"/>
                <w:sz w:val="21"/>
                <w:szCs w:val="21"/>
                <w:lang w:val="en-US" w:eastAsia="zh-CN"/>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sz w:val="20"/>
                <w:szCs w:val="20"/>
                <w:lang w:val="en-US" w:eastAsia="zh-CN"/>
              </w:rPr>
            </w:pPr>
            <w:r>
              <w:rPr>
                <w:rFonts w:hint="eastAsia" w:ascii="宋体" w:hAnsi="宋体" w:cs="宋体"/>
                <w:i w:val="0"/>
                <w:caps w:val="0"/>
                <w:color w:val="000000"/>
                <w:spacing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57"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8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楷体" w:hAnsi="楷体" w:eastAsia="楷体" w:cs="楷体"/>
                <w:i w:val="0"/>
                <w:caps w:val="0"/>
                <w:color w:val="000000"/>
                <w:spacing w:val="0"/>
                <w:sz w:val="20"/>
                <w:szCs w:val="20"/>
                <w:lang w:val="en-US" w:eastAsia="zh-CN"/>
              </w:rPr>
            </w:pPr>
            <w:r>
              <w:rPr>
                <w:rFonts w:hint="eastAsia" w:ascii="楷体" w:hAnsi="楷体" w:eastAsia="楷体" w:cs="楷体"/>
                <w:i w:val="0"/>
                <w:caps w:val="0"/>
                <w:color w:val="000000"/>
                <w:spacing w:val="0"/>
                <w:sz w:val="20"/>
                <w:szCs w:val="20"/>
                <w:lang w:val="en-US" w:eastAsia="zh-CN"/>
              </w:rPr>
              <w:t>3.其他</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42" w:hRule="atLeast"/>
          <w:jc w:val="center"/>
        </w:trPr>
        <w:tc>
          <w:tcPr>
            <w:tcW w:w="616" w:type="dxa"/>
            <w:vMerge w:val="continue"/>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263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000000"/>
                <w:spacing w:val="0"/>
                <w:sz w:val="20"/>
                <w:szCs w:val="20"/>
              </w:rPr>
              <w:t>（七）总计</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07" w:hRule="atLeast"/>
          <w:jc w:val="center"/>
        </w:trPr>
        <w:tc>
          <w:tcPr>
            <w:tcW w:w="3255" w:type="dxa"/>
            <w:gridSpan w:val="3"/>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000000"/>
                <w:spacing w:val="0"/>
                <w:sz w:val="20"/>
                <w:szCs w:val="20"/>
              </w:rPr>
              <w:t>四、结转下年度继续办理</w:t>
            </w:r>
          </w:p>
        </w:tc>
        <w:tc>
          <w:tcPr>
            <w:tcW w:w="71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6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71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8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2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i w:val="0"/>
                <w:caps w:val="0"/>
                <w:color w:val="404040"/>
                <w:spacing w:val="0"/>
                <w:sz w:val="21"/>
                <w:szCs w:val="21"/>
              </w:rPr>
              <w:t> </w:t>
            </w:r>
            <w:r>
              <w:rPr>
                <w:rFonts w:hint="eastAsia" w:ascii="宋体" w:hAnsi="宋体" w:eastAsia="宋体" w:cs="宋体"/>
                <w:i w:val="0"/>
                <w:caps w:val="0"/>
                <w:color w:val="000000"/>
                <w:spacing w:val="0"/>
                <w:sz w:val="20"/>
                <w:szCs w:val="20"/>
              </w:rPr>
              <w:t>0</w:t>
            </w:r>
          </w:p>
        </w:tc>
        <w:tc>
          <w:tcPr>
            <w:tcW w:w="61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r>
              <w:rPr>
                <w:rFonts w:hint="default" w:ascii="Times New Roman" w:hAnsi="Times New Roman" w:cs="Times New Roman"/>
                <w:i w:val="0"/>
                <w:caps w:val="0"/>
                <w:color w:val="404040"/>
                <w:spacing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404040"/>
          <w:spacing w:val="0"/>
          <w:sz w:val="20"/>
          <w:szCs w:val="20"/>
        </w:rPr>
      </w:pPr>
      <w:r>
        <w:rPr>
          <w:rFonts w:hint="default" w:ascii="Times New Roman" w:hAnsi="Times New Roman" w:cs="Times New Roman"/>
          <w:i w:val="0"/>
          <w:caps w:val="0"/>
          <w:color w:val="404040"/>
          <w:spacing w:val="0"/>
          <w:sz w:val="20"/>
          <w:szCs w:val="2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四、政府信息公开行政复议、行政诉讼情况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404040"/>
          <w:spacing w:val="0"/>
          <w:sz w:val="20"/>
          <w:szCs w:val="20"/>
        </w:rPr>
      </w:pPr>
      <w:r>
        <w:rPr>
          <w:rFonts w:hint="default" w:ascii="Times New Roman" w:hAnsi="Times New Roman" w:cs="Times New Roman"/>
          <w:i w:val="0"/>
          <w:caps w:val="0"/>
          <w:color w:val="404040"/>
          <w:spacing w:val="0"/>
          <w:sz w:val="20"/>
          <w:szCs w:val="20"/>
        </w:rPr>
        <w:t> </w:t>
      </w:r>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15" w:type="dxa"/>
          <w:left w:w="15" w:type="dxa"/>
          <w:bottom w:w="15" w:type="dxa"/>
          <w:right w:w="15" w:type="dxa"/>
        </w:tblCellMar>
      </w:tblPr>
      <w:tblGrid>
        <w:gridCol w:w="515"/>
        <w:gridCol w:w="515"/>
        <w:gridCol w:w="515"/>
        <w:gridCol w:w="515"/>
        <w:gridCol w:w="564"/>
        <w:gridCol w:w="469"/>
        <w:gridCol w:w="516"/>
        <w:gridCol w:w="516"/>
        <w:gridCol w:w="516"/>
        <w:gridCol w:w="519"/>
        <w:gridCol w:w="516"/>
        <w:gridCol w:w="516"/>
        <w:gridCol w:w="516"/>
        <w:gridCol w:w="517"/>
        <w:gridCol w:w="518"/>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73" w:hRule="atLeast"/>
          <w:jc w:val="center"/>
        </w:trPr>
        <w:tc>
          <w:tcPr>
            <w:tcW w:w="2624" w:type="dxa"/>
            <w:gridSpan w:val="5"/>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行政复议</w:t>
            </w:r>
          </w:p>
        </w:tc>
        <w:tc>
          <w:tcPr>
            <w:tcW w:w="5119" w:type="dxa"/>
            <w:gridSpan w:val="10"/>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8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结果维持</w:t>
            </w:r>
          </w:p>
        </w:tc>
        <w:tc>
          <w:tcPr>
            <w:tcW w:w="5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结果纠正</w:t>
            </w:r>
          </w:p>
        </w:tc>
        <w:tc>
          <w:tcPr>
            <w:tcW w:w="5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其他结果</w:t>
            </w:r>
          </w:p>
        </w:tc>
        <w:tc>
          <w:tcPr>
            <w:tcW w:w="51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尚未审结</w:t>
            </w:r>
          </w:p>
        </w:tc>
        <w:tc>
          <w:tcPr>
            <w:tcW w:w="56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总计</w:t>
            </w:r>
          </w:p>
        </w:tc>
        <w:tc>
          <w:tcPr>
            <w:tcW w:w="2536"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未经复议直接起诉</w:t>
            </w:r>
          </w:p>
        </w:tc>
        <w:tc>
          <w:tcPr>
            <w:tcW w:w="2583"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3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56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hint="default" w:ascii="Times New Roman" w:hAnsi="Times New Roman" w:cs="Times New Roman"/>
                <w:i w:val="0"/>
                <w:caps w:val="0"/>
                <w:color w:val="404040"/>
                <w:spacing w:val="0"/>
                <w:sz w:val="20"/>
                <w:szCs w:val="20"/>
              </w:rPr>
            </w:pPr>
          </w:p>
        </w:tc>
        <w:tc>
          <w:tcPr>
            <w:tcW w:w="4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结果维持</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结果纠正</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其他结果</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尚未审结</w:t>
            </w:r>
          </w:p>
        </w:tc>
        <w:tc>
          <w:tcPr>
            <w:tcW w:w="5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总计</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结果维持</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结果纠正</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其他结果</w:t>
            </w:r>
          </w:p>
        </w:tc>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尚未审结</w:t>
            </w:r>
          </w:p>
        </w:tc>
        <w:tc>
          <w:tcPr>
            <w:tcW w:w="5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83"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4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0"/>
                <w:szCs w:val="20"/>
              </w:rPr>
              <w:t>0</w:t>
            </w:r>
          </w:p>
        </w:tc>
        <w:tc>
          <w:tcPr>
            <w:tcW w:w="5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404040"/>
          <w:spacing w:val="0"/>
          <w:sz w:val="20"/>
          <w:szCs w:val="20"/>
        </w:rPr>
      </w:pPr>
      <w:r>
        <w:rPr>
          <w:rFonts w:hint="default" w:ascii="Times New Roman" w:hAnsi="Times New Roman" w:cs="Times New Roman"/>
          <w:i w:val="0"/>
          <w:caps w:val="0"/>
          <w:color w:val="404040"/>
          <w:spacing w:val="0"/>
          <w:sz w:val="20"/>
          <w:szCs w:val="2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lang w:eastAsia="zh-CN"/>
        </w:rPr>
        <w:t>五、</w:t>
      </w:r>
      <w:r>
        <w:rPr>
          <w:rStyle w:val="7"/>
          <w:rFonts w:hint="eastAsia" w:ascii="黑体" w:hAnsi="黑体" w:eastAsia="黑体" w:cs="黑体"/>
          <w:b w:val="0"/>
          <w:bCs/>
          <w:i w:val="0"/>
          <w:caps w:val="0"/>
          <w:color w:val="000000"/>
          <w:spacing w:val="0"/>
          <w:sz w:val="32"/>
          <w:szCs w:val="32"/>
        </w:rPr>
        <w:t>存在的主要问题及改进情况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Style w:val="7"/>
          <w:rFonts w:hint="eastAsia" w:ascii="仿宋_GB2312" w:hAnsi="仿宋_GB2312" w:eastAsia="仿宋_GB2312" w:cs="仿宋_GB2312"/>
          <w:b w:val="0"/>
          <w:bCs/>
          <w:i w:val="0"/>
          <w:caps w:val="0"/>
          <w:color w:val="000000"/>
          <w:spacing w:val="0"/>
          <w:sz w:val="32"/>
          <w:szCs w:val="32"/>
          <w:lang w:val="en-US" w:eastAsia="zh-CN"/>
        </w:rPr>
      </w:pPr>
      <w:r>
        <w:rPr>
          <w:rStyle w:val="7"/>
          <w:rFonts w:hint="eastAsia" w:ascii="仿宋_GB2312" w:hAnsi="仿宋_GB2312" w:eastAsia="仿宋_GB2312" w:cs="仿宋_GB2312"/>
          <w:b/>
          <w:bCs w:val="0"/>
          <w:i w:val="0"/>
          <w:caps w:val="0"/>
          <w:color w:val="000000"/>
          <w:spacing w:val="0"/>
          <w:sz w:val="32"/>
          <w:szCs w:val="32"/>
          <w:lang w:val="en-US" w:eastAsia="zh-CN"/>
        </w:rPr>
        <w:t xml:space="preserve">    </w:t>
      </w:r>
      <w:r>
        <w:rPr>
          <w:rStyle w:val="7"/>
          <w:rFonts w:hint="eastAsia" w:ascii="仿宋_GB2312" w:hAnsi="仿宋_GB2312" w:eastAsia="仿宋_GB2312" w:cs="仿宋_GB2312"/>
          <w:b w:val="0"/>
          <w:bCs/>
          <w:i w:val="0"/>
          <w:caps w:val="0"/>
          <w:color w:val="000000"/>
          <w:spacing w:val="0"/>
          <w:sz w:val="32"/>
          <w:szCs w:val="32"/>
          <w:lang w:val="en-US" w:eastAsia="zh-CN"/>
        </w:rPr>
        <w:t xml:space="preserve"> 我局在政务信息公开工作中虽取得了一定的成绩，但仍存在一些问题，信息公开的质量不高政策解读的力度有待于进一步加大、相关政务监督的体制机制还需进一步完善，政务信息公开形式单一，有待加强宣传推广。</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both"/>
        <w:rPr>
          <w:rStyle w:val="7"/>
          <w:rFonts w:hint="eastAsia" w:ascii="仿宋_GB2312" w:hAnsi="仿宋_GB2312" w:eastAsia="仿宋_GB2312" w:cs="仿宋_GB2312"/>
          <w:b w:val="0"/>
          <w:bCs/>
          <w:i w:val="0"/>
          <w:caps w:val="0"/>
          <w:color w:val="000000"/>
          <w:spacing w:val="0"/>
          <w:sz w:val="32"/>
          <w:szCs w:val="32"/>
          <w:lang w:val="en-US" w:eastAsia="zh-CN"/>
        </w:rPr>
      </w:pPr>
      <w:r>
        <w:rPr>
          <w:rStyle w:val="7"/>
          <w:rFonts w:hint="eastAsia" w:ascii="仿宋_GB2312" w:hAnsi="仿宋_GB2312" w:eastAsia="仿宋_GB2312" w:cs="仿宋_GB2312"/>
          <w:b w:val="0"/>
          <w:bCs/>
          <w:i w:val="0"/>
          <w:caps w:val="0"/>
          <w:color w:val="000000"/>
          <w:spacing w:val="0"/>
          <w:sz w:val="32"/>
          <w:szCs w:val="32"/>
          <w:lang w:val="en-US" w:eastAsia="zh-CN"/>
        </w:rPr>
        <w:t>下一步，区人力资源和社会保障局将直面问题，积极采取措施进一步推进政务公开。</w:t>
      </w:r>
      <w:r>
        <w:rPr>
          <w:rStyle w:val="7"/>
          <w:rFonts w:hint="eastAsia" w:ascii="仿宋_GB2312" w:hAnsi="仿宋_GB2312" w:eastAsia="仿宋_GB2312" w:cs="仿宋_GB2312"/>
          <w:b/>
          <w:bCs w:val="0"/>
          <w:i w:val="0"/>
          <w:caps w:val="0"/>
          <w:color w:val="000000"/>
          <w:spacing w:val="0"/>
          <w:sz w:val="32"/>
          <w:szCs w:val="32"/>
          <w:lang w:val="en-US" w:eastAsia="zh-CN"/>
        </w:rPr>
        <w:t>一是</w:t>
      </w:r>
      <w:r>
        <w:rPr>
          <w:rStyle w:val="7"/>
          <w:rFonts w:hint="eastAsia" w:ascii="仿宋_GB2312" w:hAnsi="仿宋_GB2312" w:eastAsia="仿宋_GB2312" w:cs="仿宋_GB2312"/>
          <w:b w:val="0"/>
          <w:bCs/>
          <w:i w:val="0"/>
          <w:caps w:val="0"/>
          <w:color w:val="000000"/>
          <w:spacing w:val="0"/>
          <w:sz w:val="32"/>
          <w:szCs w:val="32"/>
          <w:lang w:val="en-US" w:eastAsia="zh-CN"/>
        </w:rPr>
        <w:t>进一步强化政策解读工作，明确解读要素、解读形式，加强图表图解、音频视频等可视、可读、可感的方式解读。发挥政务新媒体作用，做好政策解读，加强政民互动。</w:t>
      </w:r>
      <w:r>
        <w:rPr>
          <w:rStyle w:val="7"/>
          <w:rFonts w:hint="eastAsia" w:ascii="仿宋_GB2312" w:hAnsi="仿宋_GB2312" w:eastAsia="仿宋_GB2312" w:cs="仿宋_GB2312"/>
          <w:b/>
          <w:bCs w:val="0"/>
          <w:i w:val="0"/>
          <w:caps w:val="0"/>
          <w:color w:val="000000"/>
          <w:spacing w:val="0"/>
          <w:sz w:val="32"/>
          <w:szCs w:val="32"/>
          <w:lang w:val="en-US" w:eastAsia="zh-CN"/>
        </w:rPr>
        <w:t>二是</w:t>
      </w:r>
      <w:r>
        <w:rPr>
          <w:rStyle w:val="7"/>
          <w:rFonts w:hint="eastAsia" w:ascii="仿宋_GB2312" w:hAnsi="仿宋_GB2312" w:eastAsia="仿宋_GB2312" w:cs="仿宋_GB2312"/>
          <w:b w:val="0"/>
          <w:bCs/>
          <w:i w:val="0"/>
          <w:caps w:val="0"/>
          <w:color w:val="000000"/>
          <w:spacing w:val="0"/>
          <w:sz w:val="32"/>
          <w:szCs w:val="32"/>
          <w:lang w:val="en-US" w:eastAsia="zh-CN"/>
        </w:rPr>
        <w:t>进一步加强公开平台建设。加强网站、微信、微博、 客户端建设，推进公开平台建设集约化、标准化、规范化，规范 栏目设置，更好地满足公众对政府信息的需求。突出重点、热点和难点问题，把群众最关心、反应最强烈的事项作为政府信息公开的主要内容，切实发挥好信息公开平台的桥梁作用。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lang w:eastAsia="zh-CN"/>
        </w:rPr>
        <w:t>六、</w:t>
      </w:r>
      <w:r>
        <w:rPr>
          <w:rStyle w:val="7"/>
          <w:rFonts w:hint="eastAsia" w:ascii="黑体" w:hAnsi="黑体" w:eastAsia="黑体" w:cs="黑体"/>
          <w:b w:val="0"/>
          <w:bCs/>
          <w:i w:val="0"/>
          <w:caps w:val="0"/>
          <w:color w:val="000000"/>
          <w:spacing w:val="0"/>
          <w:sz w:val="32"/>
          <w:szCs w:val="32"/>
        </w:rPr>
        <w:t>其他需要报告的事项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40" w:firstLineChars="200"/>
        <w:jc w:val="both"/>
        <w:rPr>
          <w:rStyle w:val="7"/>
          <w:rFonts w:hint="eastAsia" w:ascii="仿宋_GB2312" w:hAnsi="仿宋_GB2312" w:eastAsia="仿宋_GB2312" w:cs="仿宋_GB2312"/>
          <w:b w:val="0"/>
          <w:bCs/>
          <w:i w:val="0"/>
          <w:caps w:val="0"/>
          <w:color w:val="000000"/>
          <w:spacing w:val="0"/>
          <w:sz w:val="32"/>
          <w:szCs w:val="32"/>
          <w:lang w:val="en-US" w:eastAsia="zh-CN"/>
        </w:rPr>
      </w:pPr>
      <w:r>
        <w:rPr>
          <w:rStyle w:val="7"/>
          <w:rFonts w:hint="eastAsia" w:ascii="仿宋_GB2312" w:hAnsi="仿宋_GB2312" w:eastAsia="仿宋_GB2312" w:cs="仿宋_GB2312"/>
          <w:b w:val="0"/>
          <w:bCs/>
          <w:i w:val="0"/>
          <w:caps w:val="0"/>
          <w:color w:val="000000"/>
          <w:spacing w:val="0"/>
          <w:sz w:val="32"/>
          <w:szCs w:val="32"/>
          <w:lang w:val="en-US" w:eastAsia="zh-CN"/>
        </w:rPr>
        <w:t>无其他需报告的事项。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Style w:val="7"/>
          <w:rFonts w:hint="eastAsia" w:ascii="仿宋_GB2312" w:hAnsi="仿宋_GB2312" w:eastAsia="仿宋_GB2312" w:cs="仿宋_GB2312"/>
          <w:b w:val="0"/>
          <w:bCs/>
          <w:i w:val="0"/>
          <w:caps w:val="0"/>
          <w:color w:val="000000"/>
          <w:spacing w:val="0"/>
          <w:sz w:val="32"/>
          <w:szCs w:val="32"/>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right"/>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E2DCA-47A9-48A2-96A5-E3DEAEE4F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2" w:fontKey="{7253CAB6-3478-4C0E-8DAD-2E672925EA29}"/>
  </w:font>
  <w:font w:name="仿宋_GB2312">
    <w:altName w:val="仿宋"/>
    <w:panose1 w:val="02010609030101010101"/>
    <w:charset w:val="86"/>
    <w:family w:val="auto"/>
    <w:pitch w:val="default"/>
    <w:sig w:usb0="00000000" w:usb1="00000000" w:usb2="00000000" w:usb3="00000000" w:csb0="00040000" w:csb1="00000000"/>
    <w:embedRegular r:id="rId3" w:fontKey="{118E208D-4FE3-4875-B9C8-A2C4A99E8E05}"/>
  </w:font>
  <w:font w:name="楷体_GB2312">
    <w:altName w:val="楷体"/>
    <w:panose1 w:val="02010609030101010101"/>
    <w:charset w:val="86"/>
    <w:family w:val="auto"/>
    <w:pitch w:val="default"/>
    <w:sig w:usb0="00000000" w:usb1="00000000" w:usb2="00000000" w:usb3="00000000" w:csb0="00040000" w:csb1="00000000"/>
    <w:embedRegular r:id="rId4" w:fontKey="{4A535E2E-6647-46CC-98F9-4640AD235E97}"/>
  </w:font>
  <w:font w:name="ˎ̥">
    <w:altName w:val="Times New Roman"/>
    <w:panose1 w:val="00000000000000000000"/>
    <w:charset w:val="00"/>
    <w:family w:val="roman"/>
    <w:pitch w:val="default"/>
    <w:sig w:usb0="00000000" w:usb1="00000000" w:usb2="00000000" w:usb3="00000000" w:csb0="00040001" w:csb1="00000000"/>
    <w:embedRegular r:id="rId5" w:fontKey="{85D94394-A346-451A-9D74-380C42E0414D}"/>
  </w:font>
  <w:font w:name="楷体">
    <w:panose1 w:val="02010609060101010101"/>
    <w:charset w:val="86"/>
    <w:family w:val="auto"/>
    <w:pitch w:val="default"/>
    <w:sig w:usb0="800002BF" w:usb1="38CF7CFA" w:usb2="00000016" w:usb3="00000000" w:csb0="00040001" w:csb1="00000000"/>
    <w:embedRegular r:id="rId6" w:fontKey="{C9FEB623-4308-4797-AE64-D8A93D16928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B3354"/>
    <w:multiLevelType w:val="singleLevel"/>
    <w:tmpl w:val="A1AB33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1F71439"/>
    <w:rsid w:val="021C255C"/>
    <w:rsid w:val="078D14EB"/>
    <w:rsid w:val="0CCC0289"/>
    <w:rsid w:val="18862964"/>
    <w:rsid w:val="2047590F"/>
    <w:rsid w:val="20642D30"/>
    <w:rsid w:val="2849394A"/>
    <w:rsid w:val="29F01A5E"/>
    <w:rsid w:val="31690802"/>
    <w:rsid w:val="31CF632A"/>
    <w:rsid w:val="4287653C"/>
    <w:rsid w:val="48611BD9"/>
    <w:rsid w:val="518244B8"/>
    <w:rsid w:val="558F2BB3"/>
    <w:rsid w:val="5AF26BFE"/>
    <w:rsid w:val="60783F4B"/>
    <w:rsid w:val="6457213B"/>
    <w:rsid w:val="6C860C73"/>
    <w:rsid w:val="71567D22"/>
    <w:rsid w:val="738A5F50"/>
    <w:rsid w:val="752F5240"/>
    <w:rsid w:val="78106B96"/>
    <w:rsid w:val="7A221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33333"/>
      <w:u w:val="none"/>
    </w:rPr>
  </w:style>
  <w:style w:type="character" w:styleId="9">
    <w:name w:val="HTML Definition"/>
    <w:basedOn w:val="6"/>
    <w:uiPriority w:val="0"/>
    <w:rPr>
      <w:i/>
      <w:iCs/>
    </w:rPr>
  </w:style>
  <w:style w:type="character" w:styleId="10">
    <w:name w:val="Hyperlink"/>
    <w:basedOn w:val="6"/>
    <w:uiPriority w:val="0"/>
    <w:rPr>
      <w:color w:val="333333"/>
      <w:u w:val="none"/>
    </w:rPr>
  </w:style>
  <w:style w:type="character" w:styleId="11">
    <w:name w:val="HTML Code"/>
    <w:basedOn w:val="6"/>
    <w:uiPriority w:val="0"/>
    <w:rPr>
      <w:rFonts w:hint="default" w:ascii="Consolas" w:hAnsi="Consolas" w:eastAsia="Consolas" w:cs="Consolas"/>
      <w:color w:val="C7254E"/>
      <w:sz w:val="21"/>
      <w:szCs w:val="21"/>
      <w:shd w:val="clear" w:color="auto" w:fill="F9F2F4"/>
    </w:rPr>
  </w:style>
  <w:style w:type="character" w:styleId="12">
    <w:name w:val="HTML Keyboard"/>
    <w:basedOn w:val="6"/>
    <w:uiPriority w:val="0"/>
    <w:rPr>
      <w:rFonts w:ascii="Consolas" w:hAnsi="Consolas" w:eastAsia="Consolas" w:cs="Consolas"/>
      <w:color w:val="FFFFFF"/>
      <w:sz w:val="21"/>
      <w:szCs w:val="21"/>
      <w:shd w:val="clear" w:color="auto"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hover6"/>
    <w:basedOn w:val="6"/>
    <w:uiPriority w:val="0"/>
    <w:rPr>
      <w:color w:val="355E92"/>
    </w:rPr>
  </w:style>
  <w:style w:type="character" w:customStyle="1" w:styleId="15">
    <w:name w:val="bsharetext"/>
    <w:basedOn w:val="6"/>
    <w:uiPriority w:val="0"/>
  </w:style>
  <w:style w:type="character" w:customStyle="1" w:styleId="16">
    <w:name w:val="hover"/>
    <w:basedOn w:val="6"/>
    <w:uiPriority w:val="0"/>
    <w:rPr>
      <w:color w:val="355E9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1997</Words>
  <Characters>2029</Characters>
  <Lines>0</Lines>
  <Paragraphs>0</Paragraphs>
  <TotalTime>74</TotalTime>
  <ScaleCrop>false</ScaleCrop>
  <LinksUpToDate>false</LinksUpToDate>
  <CharactersWithSpaces>2213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2021-02-03T02:22:00Z</dcterms:created>
  <dc:creator>Administrator</dc:creator>
  <cp:lastModifiedBy>77777</cp:lastModifiedBy>
  <cp:lastPrinted>2023-01-16T01:56:00Z</cp:lastPrinted>
  <dcterms:modified xsi:type="dcterms:W3CDTF">2023-01-20T12:55:43Z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684861C879CE4A03873D4FBB68FE6DC2</vt:lpwstr>
  </property>
</Properties>
</file>