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widowControl/>
        <w:shd w:val="clear" w:color="auto" w:fill="FFFFFF"/>
        <w:spacing w:line="600" w:lineRule="atLeast"/>
        <w:ind w:firstLine="480"/>
        <w:jc w:val="center"/>
        <w:rPr>
          <w:rFonts w:ascii="方正小标宋简体" w:eastAsia="方正小标宋简体"/>
          <w:color w:val="auto"/>
          <w:kern w:val="0"/>
          <w:sz w:val="44"/>
          <w:szCs w:val="44"/>
          <w:highlight w:val="none"/>
        </w:rPr>
      </w:pPr>
    </w:p>
    <w:p>
      <w:pPr>
        <w:widowControl/>
        <w:shd w:val="clear" w:color="auto" w:fill="FFFFFF"/>
        <w:spacing w:line="600" w:lineRule="atLeast"/>
        <w:ind w:firstLine="480"/>
        <w:jc w:val="center"/>
        <w:rPr>
          <w:rFonts w:ascii="方正小标宋简体" w:eastAsia="方正小标宋简体"/>
          <w:b/>
          <w:color w:val="auto"/>
          <w:kern w:val="0"/>
          <w:sz w:val="44"/>
          <w:szCs w:val="44"/>
          <w:highlight w:val="none"/>
        </w:rPr>
      </w:pPr>
    </w:p>
    <w:p>
      <w:pPr>
        <w:widowControl/>
        <w:shd w:val="clear" w:color="auto" w:fill="FFFFFF"/>
        <w:jc w:val="center"/>
        <w:rPr>
          <w:rFonts w:ascii="方正小标宋简体" w:eastAsia="方正小标宋简体" w:hAnsi="Calibri"/>
          <w:b/>
          <w:color w:val="auto"/>
          <w:kern w:val="0"/>
          <w:sz w:val="44"/>
          <w:szCs w:val="44"/>
          <w:highlight w:val="none"/>
        </w:rPr>
      </w:pPr>
      <w:r>
        <w:rPr>
          <w:rFonts w:ascii="方正小标宋简体" w:eastAsia="方正小标宋简体" w:hAnsi="Calibri" w:hint="eastAsia"/>
          <w:b/>
          <w:color w:val="auto"/>
          <w:kern w:val="0"/>
          <w:sz w:val="44"/>
          <w:szCs w:val="44"/>
          <w:highlight w:val="none"/>
        </w:rPr>
        <w:t xml:space="preserve">湟中县</w:t>
      </w:r>
    </w:p>
    <w:p>
      <w:pPr>
        <w:widowControl/>
        <w:shd w:val="clear" w:color="auto" w:fill="FFFFFF"/>
        <w:jc w:val="center"/>
        <w:rPr>
          <w:b/>
          <w:color w:val="auto"/>
          <w:kern w:val="0"/>
          <w:szCs w:val="21"/>
          <w:highlight w:val="none"/>
        </w:rPr>
      </w:pPr>
      <w:r>
        <w:rPr>
          <w:rFonts w:ascii="方正小标宋简体" w:eastAsia="方正小标宋简体" w:hAnsi="Calibri" w:hint="eastAsia"/>
          <w:b/>
          <w:color w:val="auto"/>
          <w:kern w:val="0"/>
          <w:sz w:val="44"/>
          <w:szCs w:val="44"/>
          <w:highlight w:val="none"/>
        </w:rPr>
        <w:t xml:space="preserve">危险化学品生产安全事故应急预案</w:t>
      </w:r>
    </w:p>
    <w:p>
      <w:pPr>
        <w:widowControl/>
        <w:shd w:val="clear" w:color="auto" w:fill="FFFFFF"/>
        <w:spacing w:line="600" w:lineRule="atLeast"/>
        <w:ind w:firstLine="480"/>
        <w:jc w:val="left"/>
        <w:rPr>
          <w:rFonts w:ascii="微软雅黑" w:eastAsia="微软雅黑" w:hAnsi="微软雅黑"/>
          <w:color w:val="auto"/>
          <w:kern w:val="0"/>
          <w:sz w:val="32"/>
          <w:szCs w:val="32"/>
          <w:highlight w:val="none"/>
        </w:rPr>
      </w:pPr>
      <w:r>
        <w:rPr>
          <w:rFonts w:ascii="微软雅黑" w:eastAsia="微软雅黑" w:hAnsi="微软雅黑" w:hint="eastAsia"/>
          <w:color w:val="auto"/>
          <w:kern w:val="0"/>
          <w:szCs w:val="21"/>
          <w:highlight w:val="none"/>
        </w:rPr>
        <w:br/>
      </w:r>
      <w:r>
        <w:rPr>
          <w:rFonts w:ascii="微软雅黑" w:eastAsia="微软雅黑" w:hAnsi="微软雅黑" w:hint="eastAsia"/>
          <w:color w:val="auto"/>
          <w:kern w:val="0"/>
          <w:sz w:val="32"/>
          <w:szCs w:val="32"/>
          <w:highlight w:val="none"/>
        </w:rPr>
        <w:t xml:space="preserve">    </w:t>
      </w:r>
    </w:p>
    <w:p>
      <w:pPr>
        <w:widowControl/>
        <w:shd w:val="clear" w:color="auto" w:fill="FFFFFF"/>
        <w:spacing w:line="600" w:lineRule="atLeast"/>
        <w:ind w:firstLine="480"/>
        <w:jc w:val="left"/>
        <w:rPr>
          <w:rFonts w:ascii="微软雅黑" w:eastAsia="微软雅黑" w:hAnsi="微软雅黑"/>
          <w:color w:val="auto"/>
          <w:kern w:val="0"/>
          <w:sz w:val="32"/>
          <w:szCs w:val="32"/>
          <w:highlight w:val="none"/>
        </w:rPr>
      </w:pPr>
    </w:p>
    <w:p>
      <w:pPr>
        <w:widowControl/>
        <w:shd w:val="clear" w:color="auto" w:fill="FFFFFF"/>
        <w:spacing w:line="600" w:lineRule="atLeast"/>
        <w:ind w:firstLine="480"/>
        <w:jc w:val="left"/>
        <w:rPr>
          <w:rFonts w:ascii="微软雅黑" w:eastAsia="微软雅黑" w:hAnsi="微软雅黑"/>
          <w:color w:val="auto"/>
          <w:kern w:val="0"/>
          <w:sz w:val="32"/>
          <w:szCs w:val="32"/>
          <w:highlight w:val="none"/>
        </w:rPr>
      </w:pPr>
    </w:p>
    <w:p>
      <w:pPr>
        <w:widowControl/>
        <w:shd w:val="clear" w:color="auto" w:fill="FFFFFF"/>
        <w:spacing w:line="600" w:lineRule="atLeast"/>
        <w:ind w:firstLine="480"/>
        <w:jc w:val="left"/>
        <w:rPr>
          <w:rFonts w:ascii="微软雅黑" w:eastAsia="微软雅黑" w:hAnsi="微软雅黑"/>
          <w:color w:val="auto"/>
          <w:kern w:val="0"/>
          <w:sz w:val="32"/>
          <w:szCs w:val="32"/>
          <w:highlight w:val="none"/>
        </w:rPr>
      </w:pPr>
    </w:p>
    <w:p>
      <w:pPr>
        <w:widowControl/>
        <w:shd w:val="clear" w:color="auto" w:fill="FFFFFF"/>
        <w:spacing w:line="600" w:lineRule="atLeast"/>
        <w:ind w:firstLine="480"/>
        <w:jc w:val="left"/>
        <w:rPr>
          <w:rFonts w:ascii="微软雅黑" w:eastAsia="微软雅黑" w:hAnsi="微软雅黑"/>
          <w:color w:val="auto"/>
          <w:kern w:val="0"/>
          <w:sz w:val="32"/>
          <w:szCs w:val="32"/>
          <w:highlight w:val="none"/>
        </w:rPr>
      </w:pPr>
    </w:p>
    <w:p>
      <w:pPr>
        <w:jc w:val="center"/>
        <w:rPr>
          <w:b/>
          <w:color w:val="auto"/>
          <w:sz w:val="44"/>
          <w:szCs w:val="44"/>
          <w:highlight w:val="none"/>
        </w:rPr>
      </w:pPr>
    </w:p>
    <w:p>
      <w:pPr>
        <w:jc w:val="center"/>
        <w:rPr>
          <w:b/>
          <w:color w:val="auto"/>
          <w:sz w:val="44"/>
          <w:szCs w:val="44"/>
          <w:highlight w:val="none"/>
        </w:rPr>
      </w:pPr>
    </w:p>
    <w:p>
      <w:pPr>
        <w:widowControl/>
        <w:shd w:val="clear" w:color="auto" w:fill="FFFFFF"/>
        <w:jc w:val="center"/>
        <w:rPr>
          <w:rFonts w:ascii="方正小标宋简体" w:eastAsia="方正小标宋简体" w:hAnsi="Calibri"/>
          <w:b/>
          <w:color w:val="auto"/>
          <w:kern w:val="0"/>
          <w:sz w:val="44"/>
          <w:szCs w:val="44"/>
          <w:highlight w:val="none"/>
        </w:rPr>
      </w:pPr>
      <w:r>
        <w:rPr>
          <w:rFonts w:ascii="方正小标宋简体" w:eastAsia="方正小标宋简体" w:hAnsi="Calibri" w:hint="eastAsia"/>
          <w:b/>
          <w:color w:val="auto"/>
          <w:kern w:val="0"/>
          <w:sz w:val="44"/>
          <w:szCs w:val="44"/>
          <w:highlight w:val="none"/>
        </w:rPr>
        <w:t xml:space="preserve">湟中县人民政府</w:t>
      </w:r>
    </w:p>
    <w:p>
      <w:pPr>
        <w:widowControl/>
        <w:shd w:val="clear" w:color="auto" w:fill="FFFFFF"/>
        <w:jc w:val="center"/>
        <w:rPr>
          <w:rFonts w:ascii="微软雅黑" w:eastAsia="微软雅黑" w:hAnsi="微软雅黑"/>
          <w:color w:val="auto"/>
          <w:kern w:val="0"/>
          <w:sz w:val="36"/>
          <w:szCs w:val="36"/>
          <w:highlight w:val="none"/>
        </w:rPr>
        <w:sectPr>
          <w:headerReference w:type="default" r:id="rId29"/>
          <w:footerReference w:type="even" r:id="rId30"/>
          <w:footerReference w:type="default" r:id="rId31"/>
          <w:pgSz w:w="11906" w:h="16838" w:orient="portrait"/>
          <w:pgMar w:top="2098" w:right="1474" w:bottom="1984" w:left="1587" w:header="851" w:footer="1587" w:gutter="0"/>
          <w:pgNumType w:fmt="numberInDash"/>
          <w:cols w:num="1" w:space="0">
            <w:col w:w="8845"/>
          </w:cols>
          <w:rtlGutter w:val="0"/>
          <w:docGrid w:type="lines" w:linePitch="312" w:charSpace="0"/>
        </w:sectPr>
      </w:pPr>
      <w:r>
        <w:rPr>
          <w:rFonts w:ascii="方正小标宋简体" w:eastAsia="方正小标宋简体" w:hAnsi="Calibri" w:hint="eastAsia"/>
          <w:b/>
          <w:color w:val="auto"/>
          <w:kern w:val="0"/>
          <w:sz w:val="44"/>
          <w:szCs w:val="44"/>
          <w:highlight w:val="none"/>
        </w:rPr>
        <w:t xml:space="preserve">二零二零年</w:t>
      </w:r>
      <w:r>
        <w:rPr>
          <w:rFonts w:ascii="方正小标宋简体" w:eastAsia="方正小标宋简体" w:hAnsi="Calibri" w:hint="eastAsia"/>
          <w:b/>
          <w:color w:val="auto"/>
          <w:kern w:val="0"/>
          <w:sz w:val="44"/>
          <w:szCs w:val="44"/>
          <w:highlight w:val="none"/>
          <w:lang w:val="en-US" w:eastAsia="zh-CN"/>
        </w:rPr>
        <w:t xml:space="preserve">五</w:t>
      </w:r>
      <w:r>
        <w:rPr>
          <w:rFonts w:ascii="方正小标宋简体" w:eastAsia="方正小标宋简体" w:hAnsi="Calibri" w:hint="eastAsia"/>
          <w:b/>
          <w:color w:val="auto"/>
          <w:kern w:val="0"/>
          <w:sz w:val="44"/>
          <w:szCs w:val="44"/>
          <w:highlight w:val="none"/>
        </w:rPr>
        <w:t xml:space="preserve">月</w:t>
      </w:r>
    </w:p>
    <w:bookmarkStart w:id="0" w:name="_Toc9542_WPSOffice_Level1"/>
    <w:sdt>
      <w:sdtPr>
        <w:rPr>
          <w:rFonts w:ascii="宋体" w:hAnsi="宋体"/>
          <w:color w:val="auto"/>
          <w:highlight w:val="none"/>
        </w:rPr>
        <w:id w:val="147480513"/>
        <w:docPartObj>
          <w:docPartGallery w:val="Table of Contents"/>
          <w:docPartUnique/>
        </w:docPartObj>
      </w:sdtPr>
      <w:sdtEndPr>
        <w:rPr>
          <w:rFonts w:ascii="Noto Sans CJK JP Regular" w:eastAsia="Noto Sans CJK JP Regular" w:hAnsi="Noto Sans CJK JP Regular" w:cs="Noto Sans CJK JP Regular" w:hint="eastAsia"/>
          <w:color w:val="auto"/>
          <w:sz w:val="28"/>
          <w:szCs w:val="28"/>
          <w:highlight w:val="none"/>
          <w:lang w:val="zh-CN" w:bidi="zh-CN"/>
        </w:rPr>
      </w:sdtEndPr>
      <w:sdtContent>
        <w:p>
          <w:pPr>
            <w:jc w:val="center"/>
            <w:rPr>
              <w:rFonts w:ascii="仿宋" w:eastAsia="仿宋" w:hAnsi="仿宋" w:cs="仿宋" w:hint="eastAsia"/>
              <w:b/>
              <w:bCs/>
              <w:color w:val="auto"/>
              <w:sz w:val="32"/>
              <w:szCs w:val="32"/>
              <w:highlight w:val="none"/>
            </w:rPr>
          </w:pPr>
          <w:r>
            <w:rPr>
              <w:rFonts w:ascii="仿宋" w:eastAsia="仿宋" w:hAnsi="仿宋" w:cs="仿宋" w:hint="eastAsia"/>
              <w:b/>
              <w:bCs/>
              <w:color w:val="auto"/>
              <w:sz w:val="32"/>
              <w:szCs w:val="32"/>
              <w:highlight w:val="none"/>
            </w:rPr>
            <w:t xml:space="preserve">目录</w:t>
          </w:r>
        </w:p>
        <w:p>
          <w:pPr>
            <w:pStyle w:val="TOC1"/>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0" w:leftChars="0" w:firstLineChars="0"/>
            <w:textAlignment w:val="auto"/>
            <w:rPr>
              <w:rFonts w:ascii="仿宋" w:eastAsia="仿宋" w:hAnsi="仿宋" w:cs="仿宋" w:hint="eastAsia"/>
              <w:sz w:val="32"/>
              <w:szCs w:val="32"/>
            </w:rPr>
          </w:pPr>
          <w:r>
            <w:fldChar w:fldCharType="begin"/>
          </w:r>
          <w:r>
            <w:instrText xml:space="preserve">TOC \o "1-3" \h \u</w:instrText>
          </w:r>
          <w:r>
            <w:rPr>
              <w:rFonts w:ascii="仿宋" w:eastAsia="仿宋" w:hAnsi="仿宋" w:cs="仿宋" w:hint="eastAsia"/>
              <w:color w:val="auto"/>
              <w:sz w:val="32"/>
              <w:szCs w:val="32"/>
              <w:highlight w:val="none"/>
            </w:rPr>
            <w:fldChar w:fldCharType="separate"/>
          </w:r>
          <w:hyperlink w:anchor="_Toc29560" w:history="1">
            <w:r>
              <w:rPr>
                <w:rFonts w:ascii="仿宋" w:eastAsia="仿宋" w:hAnsi="仿宋" w:cs="仿宋" w:hint="eastAsia"/>
                <w:kern w:val="0"/>
                <w:sz w:val="32"/>
                <w:szCs w:val="32"/>
                <w:highlight w:val="none"/>
              </w:rPr>
              <w:t xml:space="preserve">1.总 则</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1</w:t>
            </w:r>
          </w:hyperlink>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rPr>
          </w:pPr>
          <w:hyperlink w:anchor="_Toc9877" w:history="1">
            <w:r>
              <w:rPr>
                <w:rFonts w:ascii="仿宋" w:eastAsia="仿宋" w:hAnsi="仿宋" w:cs="仿宋" w:hint="eastAsia"/>
                <w:kern w:val="0"/>
                <w:sz w:val="32"/>
                <w:szCs w:val="32"/>
                <w:highlight w:val="none"/>
              </w:rPr>
              <w:t xml:space="preserve">1.1 编制目的</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1</w:t>
            </w:r>
          </w:hyperlink>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rPr>
          </w:pPr>
          <w:hyperlink w:anchor="_Toc3461" w:history="1">
            <w:r>
              <w:rPr>
                <w:rFonts w:ascii="仿宋" w:eastAsia="仿宋" w:hAnsi="仿宋" w:cs="仿宋" w:hint="eastAsia"/>
                <w:kern w:val="0"/>
                <w:sz w:val="32"/>
                <w:szCs w:val="32"/>
                <w:highlight w:val="none"/>
              </w:rPr>
              <w:t xml:space="preserve">1.2 工作原则</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1</w:t>
            </w:r>
          </w:hyperlink>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rPr>
          </w:pPr>
          <w:hyperlink w:anchor="_Toc27984" w:history="1">
            <w:r>
              <w:rPr>
                <w:rFonts w:ascii="仿宋" w:eastAsia="仿宋" w:hAnsi="仿宋" w:cs="仿宋" w:hint="eastAsia"/>
                <w:kern w:val="0"/>
                <w:sz w:val="32"/>
                <w:szCs w:val="32"/>
                <w:highlight w:val="none"/>
              </w:rPr>
              <w:t xml:space="preserve">1.3 编制依据</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2</w:t>
            </w:r>
          </w:hyperlink>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rPr>
          </w:pPr>
          <w:hyperlink w:anchor="_Toc4042" w:history="1">
            <w:r>
              <w:rPr>
                <w:rFonts w:ascii="仿宋" w:eastAsia="仿宋" w:hAnsi="仿宋" w:cs="仿宋" w:hint="eastAsia"/>
                <w:kern w:val="0"/>
                <w:sz w:val="32"/>
                <w:szCs w:val="32"/>
                <w:highlight w:val="none"/>
              </w:rPr>
              <w:t xml:space="preserve">1.4 适用范围</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4</w:t>
            </w:r>
          </w:hyperlink>
        </w:p>
        <w:p>
          <w:pPr>
            <w:pStyle w:val="TOC1"/>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0" w:leftChars="0" w:firstLineChars="0"/>
            <w:textAlignment w:val="auto"/>
            <w:rPr>
              <w:rFonts w:ascii="仿宋" w:eastAsia="仿宋" w:hAnsi="仿宋" w:cs="仿宋" w:hint="eastAsia"/>
              <w:sz w:val="32"/>
              <w:szCs w:val="32"/>
            </w:rPr>
          </w:pPr>
          <w:hyperlink w:anchor="_Toc9147" w:history="1">
            <w:r>
              <w:rPr>
                <w:rFonts w:ascii="仿宋" w:eastAsia="仿宋" w:hAnsi="仿宋" w:cs="仿宋" w:hint="eastAsia"/>
                <w:kern w:val="0"/>
                <w:sz w:val="32"/>
                <w:szCs w:val="32"/>
                <w:highlight w:val="none"/>
              </w:rPr>
              <w:t xml:space="preserve">2.主要危险性源分析</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_Toc9147 </w:instrText>
            </w:r>
            <w:r>
              <w:rPr>
                <w:rFonts w:ascii="仿宋" w:eastAsia="仿宋" w:hAnsi="仿宋" w:cs="仿宋" w:hint="eastAsia"/>
                <w:sz w:val="32"/>
                <w:szCs w:val="32"/>
              </w:rPr>
              <w:fldChar w:fldCharType="separate"/>
            </w:r>
            <w:r>
              <w:rPr>
                <w:rFonts w:ascii="仿宋" w:eastAsia="仿宋" w:hAnsi="仿宋" w:cs="仿宋" w:hint="eastAsia"/>
                <w:sz w:val="32"/>
                <w:szCs w:val="32"/>
                <w:lang w:val="en-US" w:eastAsia="zh-CN"/>
              </w:rPr>
              <w:t xml:space="preserve">5</w:t>
            </w:r>
            <w:r>
              <w:rPr>
                <w:rFonts w:ascii="仿宋" w:eastAsia="仿宋" w:hAnsi="仿宋" w:cs="仿宋" w:hint="eastAsia"/>
                <w:sz w:val="32"/>
                <w:szCs w:val="32"/>
              </w:rPr>
              <w:fldChar w:fldCharType="end"/>
            </w:r>
          </w:hyperlink>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rPr>
          </w:pPr>
          <w:hyperlink w:anchor="_Toc29437" w:history="1">
            <w:r>
              <w:rPr>
                <w:rFonts w:ascii="仿宋" w:eastAsia="仿宋" w:hAnsi="仿宋" w:cs="仿宋" w:hint="eastAsia"/>
                <w:kern w:val="0"/>
                <w:sz w:val="32"/>
                <w:szCs w:val="32"/>
                <w:highlight w:val="none"/>
              </w:rPr>
              <w:t xml:space="preserve">2.1 湟中县涉及的危险化学品情况</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5</w:t>
            </w:r>
          </w:hyperlink>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rPr>
          </w:pPr>
          <w:hyperlink w:anchor="_Toc11361" w:history="1">
            <w:r>
              <w:rPr>
                <w:rFonts w:ascii="仿宋" w:eastAsia="仿宋" w:hAnsi="仿宋" w:cs="仿宋" w:hint="eastAsia"/>
                <w:kern w:val="0"/>
                <w:sz w:val="32"/>
                <w:szCs w:val="32"/>
                <w:highlight w:val="none"/>
              </w:rPr>
              <w:t xml:space="preserve">2.2主要危险化学品生产安全事故类型</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5</w:t>
            </w:r>
          </w:hyperlink>
        </w:p>
        <w:p>
          <w:pPr>
            <w:pStyle w:val="TOC1"/>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0" w:leftChars="0" w:firstLineChars="0"/>
            <w:textAlignment w:val="auto"/>
            <w:rPr>
              <w:rFonts w:ascii="仿宋" w:eastAsia="仿宋" w:hAnsi="仿宋" w:cs="仿宋" w:hint="eastAsia"/>
              <w:sz w:val="32"/>
              <w:szCs w:val="32"/>
            </w:rPr>
          </w:pPr>
          <w:hyperlink w:anchor="_Toc29032" w:history="1">
            <w:r>
              <w:rPr>
                <w:rFonts w:ascii="仿宋" w:eastAsia="仿宋" w:hAnsi="仿宋" w:cs="仿宋" w:hint="eastAsia"/>
                <w:kern w:val="0"/>
                <w:sz w:val="32"/>
                <w:szCs w:val="32"/>
                <w:highlight w:val="none"/>
              </w:rPr>
              <w:t xml:space="preserve">3.</w:t>
            </w:r>
            <w:r>
              <w:rPr>
                <w:rFonts w:ascii="仿宋" w:eastAsia="仿宋" w:hAnsi="仿宋" w:cs="仿宋" w:hint="eastAsia"/>
                <w:kern w:val="0"/>
                <w:sz w:val="32"/>
                <w:szCs w:val="32"/>
                <w:highlight w:val="none"/>
                <w:lang w:val="en-US" w:eastAsia="zh-CN"/>
              </w:rPr>
              <w:t xml:space="preserve">应急</w:t>
            </w:r>
            <w:r>
              <w:rPr>
                <w:rFonts w:ascii="仿宋" w:eastAsia="仿宋" w:hAnsi="仿宋" w:cs="仿宋" w:hint="eastAsia"/>
                <w:kern w:val="0"/>
                <w:sz w:val="32"/>
                <w:szCs w:val="32"/>
                <w:highlight w:val="none"/>
              </w:rPr>
              <w:t xml:space="preserve">组织</w:t>
            </w:r>
            <w:r>
              <w:rPr>
                <w:rFonts w:ascii="仿宋" w:eastAsia="仿宋" w:hAnsi="仿宋" w:cs="仿宋" w:hint="eastAsia"/>
                <w:kern w:val="0"/>
                <w:sz w:val="32"/>
                <w:szCs w:val="32"/>
                <w:highlight w:val="none"/>
                <w:lang w:val="en-US" w:eastAsia="zh-CN"/>
              </w:rPr>
              <w:t xml:space="preserve">机构</w:t>
            </w:r>
            <w:r>
              <w:rPr>
                <w:rFonts w:ascii="仿宋" w:eastAsia="仿宋" w:hAnsi="仿宋" w:cs="仿宋" w:hint="eastAsia"/>
                <w:kern w:val="0"/>
                <w:sz w:val="32"/>
                <w:szCs w:val="32"/>
                <w:highlight w:val="none"/>
              </w:rPr>
              <w:t xml:space="preserve">与职责</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6</w:t>
            </w:r>
          </w:hyperlink>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rPr>
          </w:pPr>
          <w:hyperlink w:anchor="_Toc23213" w:history="1">
            <w:r>
              <w:rPr>
                <w:rFonts w:ascii="仿宋" w:eastAsia="仿宋" w:hAnsi="仿宋" w:cs="仿宋" w:hint="eastAsia"/>
                <w:kern w:val="0"/>
                <w:sz w:val="32"/>
                <w:szCs w:val="32"/>
                <w:highlight w:val="none"/>
              </w:rPr>
              <w:t xml:space="preserve">3.1 </w:t>
            </w:r>
            <w:r>
              <w:rPr>
                <w:rFonts w:ascii="仿宋" w:eastAsia="仿宋" w:hAnsi="仿宋" w:cs="仿宋" w:hint="eastAsia"/>
                <w:bCs/>
                <w:kern w:val="0"/>
                <w:sz w:val="32"/>
                <w:szCs w:val="32"/>
                <w:highlight w:val="none"/>
              </w:rPr>
              <w:t xml:space="preserve">县危化品应急</w:t>
            </w:r>
            <w:r>
              <w:rPr>
                <w:rFonts w:ascii="仿宋" w:eastAsia="仿宋" w:hAnsi="仿宋" w:cs="仿宋" w:hint="eastAsia"/>
                <w:bCs/>
                <w:kern w:val="0"/>
                <w:sz w:val="32"/>
                <w:szCs w:val="32"/>
                <w:highlight w:val="none"/>
                <w:lang w:val="en-US" w:eastAsia="zh-CN"/>
              </w:rPr>
              <w:t xml:space="preserve">指挥部</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6</w:t>
            </w:r>
          </w:hyperlink>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rPr>
          </w:pPr>
          <w:hyperlink w:anchor="_Toc4610" w:history="1">
            <w:r>
              <w:rPr>
                <w:rFonts w:ascii="仿宋" w:eastAsia="仿宋" w:hAnsi="仿宋" w:cs="仿宋" w:hint="eastAsia"/>
                <w:kern w:val="0"/>
                <w:sz w:val="32"/>
                <w:szCs w:val="32"/>
                <w:highlight w:val="none"/>
              </w:rPr>
              <w:t xml:space="preserve">3.2现场指挥部</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8</w:t>
            </w:r>
          </w:hyperlink>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32262" w:history="1">
            <w:r>
              <w:rPr>
                <w:rFonts w:ascii="仿宋" w:eastAsia="仿宋" w:hAnsi="仿宋" w:cs="仿宋" w:hint="eastAsia"/>
                <w:kern w:val="0"/>
                <w:sz w:val="32"/>
                <w:szCs w:val="32"/>
                <w:highlight w:val="none"/>
              </w:rPr>
              <w:t xml:space="preserve">3.3</w:t>
            </w:r>
            <w:r>
              <w:rPr>
                <w:rFonts w:ascii="仿宋" w:eastAsia="仿宋" w:hAnsi="仿宋" w:cs="仿宋" w:hint="eastAsia"/>
                <w:kern w:val="0"/>
                <w:sz w:val="32"/>
                <w:szCs w:val="32"/>
                <w:highlight w:val="none"/>
                <w:lang w:val="en-US" w:eastAsia="zh-CN"/>
              </w:rPr>
              <w:t xml:space="preserve">指挥部成员单位</w:t>
            </w:r>
            <w:r>
              <w:rPr>
                <w:rFonts w:ascii="仿宋" w:eastAsia="仿宋" w:hAnsi="仿宋" w:cs="仿宋" w:hint="eastAsia"/>
                <w:kern w:val="0"/>
                <w:sz w:val="32"/>
                <w:szCs w:val="32"/>
                <w:highlight w:val="none"/>
              </w:rPr>
              <w:t xml:space="preserve">应急职责</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1</w:t>
            </w:r>
          </w:hyperlink>
          <w:r>
            <w:rPr>
              <w:rFonts w:ascii="仿宋" w:eastAsia="仿宋" w:hAnsi="仿宋" w:cs="仿宋" w:hint="eastAsia"/>
              <w:color w:val="auto"/>
              <w:sz w:val="32"/>
              <w:szCs w:val="32"/>
              <w:highlight w:val="none"/>
              <w:lang w:val="en-US" w:eastAsia="zh-CN"/>
            </w:rPr>
            <w:t xml:space="preserve">0</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417" w:history="1">
            <w:r>
              <w:rPr>
                <w:rFonts w:ascii="仿宋" w:eastAsia="仿宋" w:hAnsi="仿宋" w:cs="仿宋" w:hint="eastAsia"/>
                <w:kern w:val="0"/>
                <w:sz w:val="32"/>
                <w:szCs w:val="32"/>
                <w:highlight w:val="none"/>
              </w:rPr>
              <w:t xml:space="preserve">3.4应急救援队伍</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1</w:t>
            </w:r>
          </w:hyperlink>
          <w:r>
            <w:rPr>
              <w:rFonts w:ascii="仿宋" w:eastAsia="仿宋" w:hAnsi="仿宋" w:cs="仿宋" w:hint="eastAsia"/>
              <w:color w:val="auto"/>
              <w:sz w:val="32"/>
              <w:szCs w:val="32"/>
              <w:highlight w:val="none"/>
              <w:lang w:val="en-US" w:eastAsia="zh-CN"/>
            </w:rPr>
            <w:t xml:space="preserve">5</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26321" w:history="1">
            <w:r>
              <w:rPr>
                <w:rFonts w:ascii="仿宋" w:eastAsia="仿宋" w:hAnsi="仿宋" w:cs="仿宋" w:hint="eastAsia"/>
                <w:kern w:val="0"/>
                <w:sz w:val="32"/>
                <w:szCs w:val="32"/>
                <w:highlight w:val="none"/>
              </w:rPr>
              <w:t xml:space="preserve">3.5事故发生单位</w:t>
            </w:r>
            <w:r>
              <w:rPr>
                <w:rFonts w:ascii="仿宋" w:eastAsia="仿宋" w:hAnsi="仿宋" w:cs="仿宋" w:hint="eastAsia"/>
                <w:kern w:val="0"/>
                <w:sz w:val="32"/>
                <w:szCs w:val="32"/>
                <w:highlight w:val="none"/>
                <w:lang w:val="en-US" w:eastAsia="zh-CN"/>
              </w:rPr>
              <w:t xml:space="preserve">职责</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1</w:t>
            </w:r>
          </w:hyperlink>
          <w:r>
            <w:rPr>
              <w:rFonts w:ascii="仿宋" w:eastAsia="仿宋" w:hAnsi="仿宋" w:cs="仿宋" w:hint="eastAsia"/>
              <w:color w:val="auto"/>
              <w:sz w:val="32"/>
              <w:szCs w:val="32"/>
              <w:highlight w:val="none"/>
              <w:lang w:val="en-US" w:eastAsia="zh-CN"/>
            </w:rPr>
            <w:t xml:space="preserve">5</w:t>
          </w:r>
        </w:p>
        <w:p>
          <w:pPr>
            <w:pStyle w:val="TOC1"/>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0" w:leftChars="0" w:firstLineChars="0"/>
            <w:textAlignment w:val="auto"/>
            <w:rPr>
              <w:rFonts w:ascii="仿宋" w:eastAsia="仿宋" w:hAnsi="仿宋" w:cs="仿宋" w:hint="eastAsia"/>
              <w:sz w:val="32"/>
              <w:szCs w:val="32"/>
              <w:lang w:val="en-US" w:eastAsia="zh-CN"/>
            </w:rPr>
          </w:pPr>
          <w:hyperlink w:anchor="_Toc21102" w:history="1">
            <w:r>
              <w:rPr>
                <w:rFonts w:ascii="仿宋" w:eastAsia="仿宋" w:hAnsi="仿宋" w:cs="仿宋" w:hint="eastAsia"/>
                <w:kern w:val="0"/>
                <w:sz w:val="32"/>
                <w:szCs w:val="32"/>
                <w:highlight w:val="none"/>
              </w:rPr>
              <w:t xml:space="preserve">4.预警和信息报告</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_Toc21102 </w:instrText>
            </w:r>
            <w:r>
              <w:rPr>
                <w:rFonts w:ascii="仿宋" w:eastAsia="仿宋" w:hAnsi="仿宋" w:cs="仿宋" w:hint="eastAsia"/>
                <w:sz w:val="32"/>
                <w:szCs w:val="32"/>
              </w:rPr>
              <w:fldChar w:fldCharType="separate"/>
            </w:r>
            <w:r>
              <w:rPr>
                <w:rFonts w:ascii="仿宋" w:eastAsia="仿宋" w:hAnsi="仿宋" w:cs="仿宋" w:hint="eastAsia"/>
                <w:sz w:val="32"/>
                <w:szCs w:val="32"/>
              </w:rPr>
              <w:t xml:space="preserve"> </w:t>
            </w:r>
            <w:r>
              <w:rPr>
                <w:rFonts w:ascii="仿宋" w:eastAsia="仿宋" w:hAnsi="仿宋" w:cs="仿宋" w:hint="eastAsia"/>
                <w:sz w:val="32"/>
                <w:szCs w:val="32"/>
                <w:lang w:val="en-US" w:eastAsia="zh-CN"/>
              </w:rPr>
              <w:t xml:space="preserve">1</w:t>
            </w:r>
            <w:r>
              <w:rPr>
                <w:rFonts w:ascii="仿宋" w:eastAsia="仿宋" w:hAnsi="仿宋" w:cs="仿宋" w:hint="eastAsia"/>
                <w:sz w:val="32"/>
                <w:szCs w:val="32"/>
              </w:rPr>
              <w:fldChar w:fldCharType="end"/>
            </w:r>
          </w:hyperlink>
          <w:r>
            <w:rPr>
              <w:rFonts w:ascii="仿宋" w:eastAsia="仿宋" w:hAnsi="仿宋" w:cs="仿宋" w:hint="eastAsia"/>
              <w:color w:val="auto"/>
              <w:sz w:val="32"/>
              <w:szCs w:val="32"/>
              <w:highlight w:val="none"/>
              <w:lang w:val="en-US" w:eastAsia="zh-CN"/>
            </w:rPr>
            <w:t xml:space="preserve">5</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15487" w:history="1">
            <w:r>
              <w:rPr>
                <w:rFonts w:ascii="仿宋" w:eastAsia="仿宋" w:hAnsi="仿宋" w:cs="仿宋" w:hint="eastAsia"/>
                <w:kern w:val="0"/>
                <w:sz w:val="32"/>
                <w:szCs w:val="32"/>
                <w:highlight w:val="none"/>
                <w:lang w:val="en-US" w:eastAsia="zh-CN"/>
              </w:rPr>
              <w:t xml:space="preserve">4.1预警预防</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1</w:t>
            </w:r>
          </w:hyperlink>
          <w:r>
            <w:rPr>
              <w:rFonts w:ascii="仿宋" w:eastAsia="仿宋" w:hAnsi="仿宋" w:cs="仿宋" w:hint="eastAsia"/>
              <w:color w:val="auto"/>
              <w:sz w:val="32"/>
              <w:szCs w:val="32"/>
              <w:highlight w:val="none"/>
              <w:lang w:val="en-US" w:eastAsia="zh-CN"/>
            </w:rPr>
            <w:t xml:space="preserve">5</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15424" w:history="1">
            <w:r>
              <w:rPr>
                <w:rFonts w:ascii="仿宋" w:eastAsia="仿宋" w:hAnsi="仿宋" w:cs="仿宋" w:hint="eastAsia"/>
                <w:kern w:val="0"/>
                <w:sz w:val="32"/>
                <w:szCs w:val="32"/>
                <w:highlight w:val="none"/>
                <w:lang w:val="en-US" w:eastAsia="zh-CN"/>
              </w:rPr>
              <w:t xml:space="preserve">4.2预警响应</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1</w:t>
            </w:r>
          </w:hyperlink>
          <w:r>
            <w:rPr>
              <w:rFonts w:ascii="仿宋" w:eastAsia="仿宋" w:hAnsi="仿宋" w:cs="仿宋" w:hint="eastAsia"/>
              <w:color w:val="auto"/>
              <w:sz w:val="32"/>
              <w:szCs w:val="32"/>
              <w:highlight w:val="none"/>
              <w:lang w:val="en-US" w:eastAsia="zh-CN"/>
            </w:rPr>
            <w:t xml:space="preserve">9</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29971" w:history="1">
            <w:r>
              <w:rPr>
                <w:rFonts w:ascii="仿宋" w:eastAsia="仿宋" w:hAnsi="仿宋" w:cs="仿宋" w:hint="eastAsia"/>
                <w:kern w:val="0"/>
                <w:sz w:val="32"/>
                <w:szCs w:val="32"/>
                <w:highlight w:val="none"/>
                <w:lang w:val="en-US" w:eastAsia="zh-CN"/>
              </w:rPr>
              <w:t xml:space="preserve">4.3 信息报告</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2</w:t>
            </w:r>
          </w:hyperlink>
          <w:r>
            <w:rPr>
              <w:rFonts w:ascii="仿宋" w:eastAsia="仿宋" w:hAnsi="仿宋" w:cs="仿宋" w:hint="eastAsia"/>
              <w:color w:val="auto"/>
              <w:sz w:val="32"/>
              <w:szCs w:val="32"/>
              <w:highlight w:val="none"/>
              <w:lang w:val="en-US" w:eastAsia="zh-CN"/>
            </w:rPr>
            <w:t xml:space="preserve">0</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3211" w:history="1">
            <w:r>
              <w:rPr>
                <w:rFonts w:ascii="仿宋" w:eastAsia="仿宋" w:hAnsi="仿宋" w:cs="仿宋" w:hint="eastAsia"/>
                <w:kern w:val="0"/>
                <w:sz w:val="32"/>
                <w:szCs w:val="32"/>
                <w:highlight w:val="none"/>
                <w:lang w:val="en-US" w:eastAsia="zh-CN"/>
              </w:rPr>
              <w:t xml:space="preserve">4.4 预测预警支持系统</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2</w:t>
            </w:r>
          </w:hyperlink>
          <w:r>
            <w:rPr>
              <w:rFonts w:ascii="仿宋" w:eastAsia="仿宋" w:hAnsi="仿宋" w:cs="仿宋" w:hint="eastAsia"/>
              <w:color w:val="auto"/>
              <w:sz w:val="32"/>
              <w:szCs w:val="32"/>
              <w:highlight w:val="none"/>
              <w:lang w:val="en-US" w:eastAsia="zh-CN"/>
            </w:rPr>
            <w:t xml:space="preserve">1</w:t>
          </w:r>
        </w:p>
        <w:p>
          <w:pPr>
            <w:pStyle w:val="TOC1"/>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0" w:leftChars="0" w:firstLineChars="0"/>
            <w:textAlignment w:val="auto"/>
            <w:rPr>
              <w:rFonts w:ascii="仿宋" w:eastAsia="仿宋" w:hAnsi="仿宋" w:cs="仿宋" w:hint="eastAsia"/>
              <w:sz w:val="32"/>
              <w:szCs w:val="32"/>
              <w:lang w:val="en-US" w:eastAsia="zh-CN"/>
            </w:rPr>
          </w:pPr>
          <w:hyperlink w:anchor="_Toc446" w:history="1">
            <w:r>
              <w:rPr>
                <w:rFonts w:ascii="仿宋" w:eastAsia="仿宋" w:hAnsi="仿宋" w:cs="仿宋" w:hint="eastAsia"/>
                <w:kern w:val="0"/>
                <w:sz w:val="32"/>
                <w:szCs w:val="32"/>
                <w:highlight w:val="none"/>
              </w:rPr>
              <w:t xml:space="preserve">5.应急处置程序</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2</w:t>
            </w:r>
          </w:hyperlink>
          <w:r>
            <w:rPr>
              <w:rFonts w:ascii="仿宋" w:eastAsia="仿宋" w:hAnsi="仿宋" w:cs="仿宋" w:hint="eastAsia"/>
              <w:color w:val="auto"/>
              <w:sz w:val="32"/>
              <w:szCs w:val="32"/>
              <w:highlight w:val="none"/>
              <w:lang w:val="en-US" w:eastAsia="zh-CN"/>
            </w:rPr>
            <w:t xml:space="preserve">2</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11011" w:history="1">
            <w:r>
              <w:rPr>
                <w:rFonts w:ascii="仿宋" w:eastAsia="仿宋" w:hAnsi="仿宋" w:cs="仿宋" w:hint="eastAsia"/>
                <w:kern w:val="0"/>
                <w:sz w:val="32"/>
                <w:szCs w:val="32"/>
                <w:highlight w:val="none"/>
                <w:lang w:val="en-US" w:eastAsia="zh-CN"/>
              </w:rPr>
              <w:t xml:space="preserve">5.1响应主体</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2</w:t>
            </w:r>
          </w:hyperlink>
          <w:r>
            <w:rPr>
              <w:rFonts w:ascii="仿宋" w:eastAsia="仿宋" w:hAnsi="仿宋" w:cs="仿宋" w:hint="eastAsia"/>
              <w:color w:val="auto"/>
              <w:sz w:val="32"/>
              <w:szCs w:val="32"/>
              <w:highlight w:val="none"/>
              <w:lang w:val="en-US" w:eastAsia="zh-CN"/>
            </w:rPr>
            <w:t xml:space="preserve">2</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8585" w:history="1">
            <w:r>
              <w:rPr>
                <w:rFonts w:ascii="仿宋" w:eastAsia="仿宋" w:hAnsi="仿宋" w:cs="仿宋" w:hint="eastAsia"/>
                <w:kern w:val="0"/>
                <w:sz w:val="32"/>
                <w:szCs w:val="32"/>
                <w:highlight w:val="none"/>
                <w:lang w:val="en-US" w:eastAsia="zh-CN"/>
              </w:rPr>
              <w:t xml:space="preserve">5.2响应程序</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2</w:t>
            </w:r>
          </w:hyperlink>
          <w:r>
            <w:rPr>
              <w:rFonts w:ascii="仿宋" w:eastAsia="仿宋" w:hAnsi="仿宋" w:cs="仿宋" w:hint="eastAsia"/>
              <w:color w:val="auto"/>
              <w:sz w:val="32"/>
              <w:szCs w:val="32"/>
              <w:highlight w:val="none"/>
              <w:lang w:val="en-US" w:eastAsia="zh-CN"/>
            </w:rPr>
            <w:t xml:space="preserve">3</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39" w:history="1">
            <w:r>
              <w:rPr>
                <w:rFonts w:ascii="仿宋" w:eastAsia="仿宋" w:hAnsi="仿宋" w:cs="仿宋" w:hint="eastAsia"/>
                <w:kern w:val="0"/>
                <w:sz w:val="32"/>
                <w:szCs w:val="32"/>
                <w:highlight w:val="none"/>
                <w:lang w:val="en-US" w:eastAsia="zh-CN"/>
              </w:rPr>
              <w:t xml:space="preserve">5.3现场应急处置方案</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2</w:t>
            </w:r>
          </w:hyperlink>
          <w:r>
            <w:rPr>
              <w:rFonts w:ascii="仿宋" w:eastAsia="仿宋" w:hAnsi="仿宋" w:cs="仿宋" w:hint="eastAsia"/>
              <w:color w:val="auto"/>
              <w:sz w:val="32"/>
              <w:szCs w:val="32"/>
              <w:highlight w:val="none"/>
              <w:lang w:val="en-US" w:eastAsia="zh-CN"/>
            </w:rPr>
            <w:t xml:space="preserve">4</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4647" w:history="1">
            <w:r>
              <w:rPr>
                <w:rFonts w:ascii="仿宋" w:eastAsia="仿宋" w:hAnsi="仿宋" w:cs="仿宋" w:hint="eastAsia"/>
                <w:kern w:val="0"/>
                <w:sz w:val="32"/>
                <w:szCs w:val="32"/>
                <w:highlight w:val="none"/>
                <w:lang w:val="en-US" w:eastAsia="zh-CN"/>
              </w:rPr>
              <w:t xml:space="preserve">5.4应急人员的安全防护</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2</w:t>
            </w:r>
          </w:hyperlink>
          <w:r>
            <w:rPr>
              <w:rFonts w:ascii="仿宋" w:eastAsia="仿宋" w:hAnsi="仿宋" w:cs="仿宋" w:hint="eastAsia"/>
              <w:color w:val="auto"/>
              <w:sz w:val="32"/>
              <w:szCs w:val="32"/>
              <w:highlight w:val="none"/>
              <w:lang w:val="en-US" w:eastAsia="zh-CN"/>
            </w:rPr>
            <w:t xml:space="preserve">8</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13646" w:history="1">
            <w:r>
              <w:rPr>
                <w:rFonts w:ascii="仿宋" w:eastAsia="仿宋" w:hAnsi="仿宋" w:cs="仿宋" w:hint="eastAsia"/>
                <w:kern w:val="0"/>
                <w:sz w:val="32"/>
                <w:szCs w:val="32"/>
                <w:highlight w:val="none"/>
                <w:lang w:val="en-US" w:eastAsia="zh-CN"/>
              </w:rPr>
              <w:t xml:space="preserve">5.5群众的安全防护</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2</w:t>
            </w:r>
          </w:hyperlink>
          <w:r>
            <w:rPr>
              <w:rFonts w:ascii="仿宋" w:eastAsia="仿宋" w:hAnsi="仿宋" w:cs="仿宋" w:hint="eastAsia"/>
              <w:color w:val="auto"/>
              <w:sz w:val="32"/>
              <w:szCs w:val="32"/>
              <w:highlight w:val="none"/>
              <w:lang w:val="en-US" w:eastAsia="zh-CN"/>
            </w:rPr>
            <w:t xml:space="preserve">9</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22615" w:history="1">
            <w:r>
              <w:rPr>
                <w:rFonts w:ascii="仿宋" w:eastAsia="仿宋" w:hAnsi="仿宋" w:cs="仿宋" w:hint="eastAsia"/>
                <w:kern w:val="0"/>
                <w:sz w:val="32"/>
                <w:szCs w:val="32"/>
                <w:highlight w:val="none"/>
                <w:lang w:val="en-US" w:eastAsia="zh-CN"/>
              </w:rPr>
              <w:t xml:space="preserve">5.7社会力量的动员与参与</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2</w:t>
            </w:r>
          </w:hyperlink>
          <w:r>
            <w:rPr>
              <w:rFonts w:ascii="仿宋" w:eastAsia="仿宋" w:hAnsi="仿宋" w:cs="仿宋" w:hint="eastAsia"/>
              <w:color w:val="auto"/>
              <w:sz w:val="32"/>
              <w:szCs w:val="32"/>
              <w:highlight w:val="none"/>
              <w:lang w:val="en-US" w:eastAsia="zh-CN"/>
            </w:rPr>
            <w:t xml:space="preserve">9</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16875" w:history="1">
            <w:r>
              <w:rPr>
                <w:rFonts w:ascii="仿宋" w:eastAsia="仿宋" w:hAnsi="仿宋" w:cs="仿宋" w:hint="eastAsia"/>
                <w:kern w:val="0"/>
                <w:sz w:val="32"/>
                <w:szCs w:val="32"/>
                <w:highlight w:val="none"/>
                <w:lang w:val="en-US" w:eastAsia="zh-CN"/>
              </w:rPr>
              <w:t xml:space="preserve">5.8 应急终止</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2</w:t>
            </w:r>
          </w:hyperlink>
          <w:r>
            <w:rPr>
              <w:rFonts w:ascii="仿宋" w:eastAsia="仿宋" w:hAnsi="仿宋" w:cs="仿宋" w:hint="eastAsia"/>
              <w:color w:val="auto"/>
              <w:sz w:val="32"/>
              <w:szCs w:val="32"/>
              <w:highlight w:val="none"/>
              <w:lang w:val="en-US" w:eastAsia="zh-CN"/>
            </w:rPr>
            <w:t xml:space="preserve">9</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25748" w:history="1">
            <w:r>
              <w:rPr>
                <w:rFonts w:ascii="仿宋" w:eastAsia="仿宋" w:hAnsi="仿宋" w:cs="仿宋" w:hint="eastAsia"/>
                <w:kern w:val="0"/>
                <w:sz w:val="32"/>
                <w:szCs w:val="32"/>
                <w:highlight w:val="none"/>
                <w:lang w:val="en-US" w:eastAsia="zh-CN"/>
              </w:rPr>
              <w:t xml:space="preserve">5.9信息发布</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3</w:t>
            </w:r>
          </w:hyperlink>
          <w:r>
            <w:rPr>
              <w:rFonts w:ascii="仿宋" w:eastAsia="仿宋" w:hAnsi="仿宋" w:cs="仿宋" w:hint="eastAsia"/>
              <w:color w:val="auto"/>
              <w:sz w:val="32"/>
              <w:szCs w:val="32"/>
              <w:highlight w:val="none"/>
              <w:lang w:val="en-US" w:eastAsia="zh-CN"/>
            </w:rPr>
            <w:t xml:space="preserve">0</w:t>
          </w:r>
        </w:p>
        <w:p>
          <w:pPr>
            <w:pStyle w:val="TOC1"/>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0" w:leftChars="0" w:firstLineChars="0"/>
            <w:textAlignment w:val="auto"/>
            <w:rPr>
              <w:rFonts w:ascii="仿宋" w:eastAsia="仿宋" w:hAnsi="仿宋" w:cs="仿宋" w:hint="eastAsia"/>
              <w:sz w:val="32"/>
              <w:szCs w:val="32"/>
              <w:lang w:val="en-US" w:eastAsia="zh-CN"/>
            </w:rPr>
          </w:pPr>
          <w:hyperlink w:anchor="_Toc6177" w:history="1">
            <w:r>
              <w:rPr>
                <w:rFonts w:ascii="仿宋" w:eastAsia="仿宋" w:hAnsi="仿宋" w:cs="仿宋" w:hint="eastAsia"/>
                <w:kern w:val="0"/>
                <w:sz w:val="32"/>
                <w:szCs w:val="32"/>
                <w:highlight w:val="none"/>
              </w:rPr>
              <w:t xml:space="preserve">6.后期处置</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3</w:t>
            </w:r>
          </w:hyperlink>
          <w:r>
            <w:rPr>
              <w:rFonts w:ascii="仿宋" w:eastAsia="仿宋" w:hAnsi="仿宋" w:cs="仿宋" w:hint="eastAsia"/>
              <w:color w:val="auto"/>
              <w:sz w:val="32"/>
              <w:szCs w:val="32"/>
              <w:highlight w:val="none"/>
              <w:lang w:val="en-US" w:eastAsia="zh-CN"/>
            </w:rPr>
            <w:t xml:space="preserve">1</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15825" w:history="1">
            <w:r>
              <w:rPr>
                <w:rFonts w:ascii="仿宋" w:eastAsia="仿宋" w:hAnsi="仿宋" w:cs="仿宋" w:hint="eastAsia"/>
                <w:kern w:val="0"/>
                <w:sz w:val="32"/>
                <w:szCs w:val="32"/>
                <w:highlight w:val="none"/>
                <w:lang w:val="en-US" w:eastAsia="zh-CN"/>
              </w:rPr>
              <w:t xml:space="preserve">6.1 善后处置</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3</w:t>
            </w:r>
          </w:hyperlink>
          <w:r>
            <w:rPr>
              <w:rFonts w:ascii="仿宋" w:eastAsia="仿宋" w:hAnsi="仿宋" w:cs="仿宋" w:hint="eastAsia"/>
              <w:color w:val="auto"/>
              <w:sz w:val="32"/>
              <w:szCs w:val="32"/>
              <w:highlight w:val="none"/>
              <w:lang w:val="en-US" w:eastAsia="zh-CN"/>
            </w:rPr>
            <w:t xml:space="preserve">1</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4840" w:history="1">
            <w:r>
              <w:rPr>
                <w:rFonts w:ascii="仿宋" w:eastAsia="仿宋" w:hAnsi="仿宋" w:cs="仿宋" w:hint="eastAsia"/>
                <w:kern w:val="0"/>
                <w:sz w:val="32"/>
                <w:szCs w:val="32"/>
                <w:highlight w:val="none"/>
                <w:lang w:val="en-US" w:eastAsia="zh-CN"/>
              </w:rPr>
              <w:t xml:space="preserve">6.2 社会救济</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3</w:t>
            </w:r>
          </w:hyperlink>
          <w:r>
            <w:rPr>
              <w:rFonts w:ascii="仿宋" w:eastAsia="仿宋" w:hAnsi="仿宋" w:cs="仿宋" w:hint="eastAsia"/>
              <w:color w:val="auto"/>
              <w:sz w:val="32"/>
              <w:szCs w:val="32"/>
              <w:highlight w:val="none"/>
              <w:lang w:val="en-US" w:eastAsia="zh-CN"/>
            </w:rPr>
            <w:t xml:space="preserve">1</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27548" w:history="1">
            <w:r>
              <w:rPr>
                <w:rFonts w:ascii="仿宋" w:eastAsia="仿宋" w:hAnsi="仿宋" w:cs="仿宋" w:hint="eastAsia"/>
                <w:kern w:val="0"/>
                <w:sz w:val="32"/>
                <w:szCs w:val="32"/>
                <w:highlight w:val="none"/>
                <w:lang w:val="en-US" w:eastAsia="zh-CN"/>
              </w:rPr>
              <w:t xml:space="preserve">6.3 保险</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3</w:t>
            </w:r>
          </w:hyperlink>
          <w:r>
            <w:rPr>
              <w:rFonts w:ascii="仿宋" w:eastAsia="仿宋" w:hAnsi="仿宋" w:cs="仿宋" w:hint="eastAsia"/>
              <w:color w:val="auto"/>
              <w:sz w:val="32"/>
              <w:szCs w:val="32"/>
              <w:highlight w:val="none"/>
              <w:lang w:val="en-US" w:eastAsia="zh-CN"/>
            </w:rPr>
            <w:t xml:space="preserve">1</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6728" w:history="1">
            <w:r>
              <w:rPr>
                <w:rFonts w:ascii="仿宋" w:eastAsia="仿宋" w:hAnsi="仿宋" w:cs="仿宋" w:hint="eastAsia"/>
                <w:kern w:val="0"/>
                <w:sz w:val="32"/>
                <w:szCs w:val="32"/>
                <w:highlight w:val="none"/>
                <w:lang w:val="en-US" w:eastAsia="zh-CN"/>
              </w:rPr>
              <w:t xml:space="preserve">6.4 调查评估</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3</w:t>
            </w:r>
          </w:hyperlink>
          <w:r>
            <w:rPr>
              <w:rFonts w:ascii="仿宋" w:eastAsia="仿宋" w:hAnsi="仿宋" w:cs="仿宋" w:hint="eastAsia"/>
              <w:color w:val="auto"/>
              <w:sz w:val="32"/>
              <w:szCs w:val="32"/>
              <w:highlight w:val="none"/>
              <w:lang w:val="en-US" w:eastAsia="zh-CN"/>
            </w:rPr>
            <w:t xml:space="preserve">2</w:t>
          </w:r>
        </w:p>
        <w:p>
          <w:pPr>
            <w:pStyle w:val="TOC1"/>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0" w:leftChars="0" w:firstLineChars="0"/>
            <w:textAlignment w:val="auto"/>
            <w:rPr>
              <w:rFonts w:ascii="仿宋" w:eastAsia="仿宋" w:hAnsi="仿宋" w:cs="仿宋" w:hint="eastAsia"/>
              <w:sz w:val="32"/>
              <w:szCs w:val="32"/>
              <w:lang w:val="en-US" w:eastAsia="zh-CN"/>
            </w:rPr>
          </w:pPr>
          <w:hyperlink w:anchor="_Toc25056" w:history="1">
            <w:r>
              <w:rPr>
                <w:rFonts w:ascii="仿宋" w:eastAsia="仿宋" w:hAnsi="仿宋" w:cs="仿宋" w:hint="eastAsia"/>
                <w:kern w:val="0"/>
                <w:sz w:val="32"/>
                <w:szCs w:val="32"/>
                <w:highlight w:val="none"/>
              </w:rPr>
              <w:t xml:space="preserve">7.保障措施</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3</w:t>
            </w:r>
          </w:hyperlink>
          <w:r>
            <w:rPr>
              <w:rFonts w:ascii="仿宋" w:eastAsia="仿宋" w:hAnsi="仿宋" w:cs="仿宋" w:hint="eastAsia"/>
              <w:color w:val="auto"/>
              <w:sz w:val="32"/>
              <w:szCs w:val="32"/>
              <w:highlight w:val="none"/>
              <w:lang w:val="en-US" w:eastAsia="zh-CN"/>
            </w:rPr>
            <w:t xml:space="preserve">2</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22131" w:history="1">
            <w:r>
              <w:rPr>
                <w:rFonts w:ascii="仿宋" w:eastAsia="仿宋" w:hAnsi="仿宋" w:cs="仿宋" w:hint="eastAsia"/>
                <w:kern w:val="0"/>
                <w:sz w:val="32"/>
                <w:szCs w:val="32"/>
                <w:highlight w:val="none"/>
                <w:lang w:val="en-US" w:eastAsia="zh-CN"/>
              </w:rPr>
              <w:t xml:space="preserve">7.1 通信与信息保障</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3</w:t>
            </w:r>
          </w:hyperlink>
          <w:r>
            <w:rPr>
              <w:rFonts w:ascii="仿宋" w:eastAsia="仿宋" w:hAnsi="仿宋" w:cs="仿宋" w:hint="eastAsia"/>
              <w:color w:val="auto"/>
              <w:sz w:val="32"/>
              <w:szCs w:val="32"/>
              <w:highlight w:val="none"/>
              <w:lang w:val="en-US" w:eastAsia="zh-CN"/>
            </w:rPr>
            <w:t xml:space="preserve">2</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1045" w:history="1">
            <w:r>
              <w:rPr>
                <w:rFonts w:ascii="仿宋" w:eastAsia="仿宋" w:hAnsi="仿宋" w:cs="仿宋" w:hint="eastAsia"/>
                <w:kern w:val="0"/>
                <w:sz w:val="32"/>
                <w:szCs w:val="32"/>
                <w:highlight w:val="none"/>
                <w:lang w:val="en-US" w:eastAsia="zh-CN"/>
              </w:rPr>
              <w:t xml:space="preserve">7.2 应急救援保障</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3</w:t>
            </w:r>
          </w:hyperlink>
          <w:r>
            <w:rPr>
              <w:rFonts w:ascii="仿宋" w:eastAsia="仿宋" w:hAnsi="仿宋" w:cs="仿宋" w:hint="eastAsia"/>
              <w:color w:val="auto"/>
              <w:sz w:val="32"/>
              <w:szCs w:val="32"/>
              <w:highlight w:val="none"/>
              <w:lang w:val="en-US" w:eastAsia="zh-CN"/>
            </w:rPr>
            <w:t xml:space="preserve">2</w:t>
          </w:r>
        </w:p>
        <w:p>
          <w:pPr>
            <w:pStyle w:val="TOC1"/>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0" w:leftChars="0" w:firstLineChars="0"/>
            <w:textAlignment w:val="auto"/>
            <w:rPr>
              <w:rFonts w:ascii="仿宋" w:eastAsia="仿宋" w:hAnsi="仿宋" w:cs="仿宋" w:hint="eastAsia"/>
              <w:sz w:val="32"/>
              <w:szCs w:val="32"/>
              <w:lang w:val="en-US" w:eastAsia="zh-CN"/>
            </w:rPr>
          </w:pPr>
          <w:hyperlink w:anchor="_Toc20689" w:history="1">
            <w:r>
              <w:rPr>
                <w:rFonts w:ascii="仿宋" w:eastAsia="仿宋" w:hAnsi="仿宋" w:cs="仿宋" w:hint="eastAsia"/>
                <w:kern w:val="0"/>
                <w:sz w:val="32"/>
                <w:szCs w:val="32"/>
                <w:highlight w:val="none"/>
              </w:rPr>
              <w:t xml:space="preserve">8. 预案管理</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3</w:t>
            </w:r>
          </w:hyperlink>
          <w:r>
            <w:rPr>
              <w:rFonts w:ascii="仿宋" w:eastAsia="仿宋" w:hAnsi="仿宋" w:cs="仿宋" w:hint="eastAsia"/>
              <w:color w:val="auto"/>
              <w:sz w:val="32"/>
              <w:szCs w:val="32"/>
              <w:highlight w:val="none"/>
              <w:lang w:val="en-US" w:eastAsia="zh-CN"/>
            </w:rPr>
            <w:t xml:space="preserve">5</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17063" w:history="1">
            <w:r>
              <w:rPr>
                <w:rFonts w:ascii="仿宋" w:eastAsia="仿宋" w:hAnsi="仿宋" w:cs="仿宋" w:hint="eastAsia"/>
                <w:kern w:val="0"/>
                <w:sz w:val="32"/>
                <w:szCs w:val="32"/>
                <w:highlight w:val="none"/>
                <w:lang w:val="en-US" w:eastAsia="zh-CN"/>
              </w:rPr>
              <w:t xml:space="preserve">8.1 宣传、培训和演习</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3</w:t>
            </w:r>
          </w:hyperlink>
          <w:r>
            <w:rPr>
              <w:rFonts w:ascii="仿宋" w:eastAsia="仿宋" w:hAnsi="仿宋" w:cs="仿宋" w:hint="eastAsia"/>
              <w:color w:val="auto"/>
              <w:sz w:val="32"/>
              <w:szCs w:val="32"/>
              <w:highlight w:val="none"/>
              <w:lang w:val="en-US" w:eastAsia="zh-CN"/>
            </w:rPr>
            <w:t xml:space="preserve">5</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rPr>
          </w:pPr>
          <w:hyperlink w:anchor="_Toc6707" w:history="1">
            <w:r>
              <w:rPr>
                <w:rFonts w:ascii="仿宋" w:eastAsia="仿宋" w:hAnsi="仿宋" w:cs="仿宋" w:hint="eastAsia"/>
                <w:kern w:val="0"/>
                <w:sz w:val="32"/>
                <w:szCs w:val="32"/>
                <w:highlight w:val="none"/>
                <w:lang w:val="en-US" w:eastAsia="zh-CN"/>
              </w:rPr>
              <w:t xml:space="preserve">8.2 预案评估、修订与备案</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_Toc6707 </w:instrText>
            </w:r>
            <w:r>
              <w:rPr>
                <w:rFonts w:ascii="仿宋" w:eastAsia="仿宋" w:hAnsi="仿宋" w:cs="仿宋" w:hint="eastAsia"/>
                <w:sz w:val="32"/>
                <w:szCs w:val="32"/>
              </w:rPr>
              <w:fldChar w:fldCharType="separate"/>
            </w:r>
            <w:r>
              <w:rPr>
                <w:rFonts w:ascii="仿宋" w:eastAsia="仿宋" w:hAnsi="仿宋" w:cs="仿宋" w:hint="eastAsia"/>
                <w:sz w:val="32"/>
                <w:szCs w:val="32"/>
                <w:lang w:val="en-US" w:eastAsia="zh-CN"/>
              </w:rPr>
              <w:t xml:space="preserve">37</w:t>
            </w:r>
            <w:r>
              <w:rPr>
                <w:rFonts w:ascii="仿宋" w:eastAsia="仿宋" w:hAnsi="仿宋" w:cs="仿宋" w:hint="eastAsia"/>
                <w:sz w:val="32"/>
                <w:szCs w:val="32"/>
              </w:rPr>
              <w:fldChar w:fldCharType="end"/>
            </w:r>
          </w:hyperlink>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11479" w:history="1">
            <w:r>
              <w:rPr>
                <w:rFonts w:ascii="仿宋" w:eastAsia="仿宋" w:hAnsi="仿宋" w:cs="仿宋" w:hint="eastAsia"/>
                <w:kern w:val="0"/>
                <w:sz w:val="32"/>
                <w:szCs w:val="32"/>
                <w:highlight w:val="none"/>
                <w:lang w:val="en-US" w:eastAsia="zh-CN"/>
              </w:rPr>
              <w:t xml:space="preserve">8.3 监督检查</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3</w:t>
            </w:r>
          </w:hyperlink>
          <w:r>
            <w:rPr>
              <w:rFonts w:ascii="仿宋" w:eastAsia="仿宋" w:hAnsi="仿宋" w:cs="仿宋" w:hint="eastAsia"/>
              <w:color w:val="auto"/>
              <w:sz w:val="32"/>
              <w:szCs w:val="32"/>
              <w:highlight w:val="none"/>
              <w:lang w:val="en-US" w:eastAsia="zh-CN"/>
            </w:rPr>
            <w:t xml:space="preserve">8</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1987" w:history="1">
            <w:r>
              <w:rPr>
                <w:rFonts w:ascii="仿宋" w:eastAsia="仿宋" w:hAnsi="仿宋" w:cs="仿宋" w:hint="eastAsia"/>
                <w:kern w:val="0"/>
                <w:sz w:val="32"/>
                <w:szCs w:val="32"/>
                <w:highlight w:val="none"/>
                <w:lang w:val="en-US" w:eastAsia="zh-CN"/>
              </w:rPr>
              <w:t xml:space="preserve">8.4 预案的衔接</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3</w:t>
            </w:r>
          </w:hyperlink>
          <w:r>
            <w:rPr>
              <w:rFonts w:ascii="仿宋" w:eastAsia="仿宋" w:hAnsi="仿宋" w:cs="仿宋" w:hint="eastAsia"/>
              <w:color w:val="auto"/>
              <w:sz w:val="32"/>
              <w:szCs w:val="32"/>
              <w:highlight w:val="none"/>
              <w:lang w:val="en-US" w:eastAsia="zh-CN"/>
            </w:rPr>
            <w:t xml:space="preserve">8</w:t>
          </w:r>
        </w:p>
        <w:p>
          <w:pPr>
            <w:pStyle w:val="TOC1"/>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0" w:leftChars="0" w:firstLineChars="0"/>
            <w:textAlignment w:val="auto"/>
            <w:rPr>
              <w:rFonts w:ascii="仿宋" w:eastAsia="仿宋" w:hAnsi="仿宋" w:cs="仿宋" w:hint="eastAsia"/>
              <w:sz w:val="32"/>
              <w:szCs w:val="32"/>
              <w:lang w:val="en-US" w:eastAsia="zh-CN"/>
            </w:rPr>
          </w:pPr>
          <w:hyperlink w:anchor="_Toc25190" w:history="1">
            <w:r>
              <w:rPr>
                <w:rFonts w:ascii="仿宋" w:eastAsia="仿宋" w:hAnsi="仿宋" w:cs="仿宋" w:hint="eastAsia"/>
                <w:kern w:val="0"/>
                <w:sz w:val="32"/>
                <w:szCs w:val="32"/>
                <w:highlight w:val="none"/>
              </w:rPr>
              <w:t xml:space="preserve">9.奖励与责任</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3</w:t>
            </w:r>
          </w:hyperlink>
          <w:r>
            <w:rPr>
              <w:rFonts w:ascii="仿宋" w:eastAsia="仿宋" w:hAnsi="仿宋" w:cs="仿宋" w:hint="eastAsia"/>
              <w:color w:val="auto"/>
              <w:sz w:val="32"/>
              <w:szCs w:val="32"/>
              <w:highlight w:val="none"/>
              <w:lang w:val="en-US" w:eastAsia="zh-CN"/>
            </w:rPr>
            <w:t xml:space="preserve">8</w:t>
          </w:r>
        </w:p>
        <w:p>
          <w:pPr>
            <w:pStyle w:val="TOC1"/>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0" w:leftChars="0" w:firstLineChars="0"/>
            <w:textAlignment w:val="auto"/>
            <w:rPr>
              <w:rFonts w:ascii="仿宋" w:eastAsia="仿宋" w:hAnsi="仿宋" w:cs="仿宋" w:hint="eastAsia"/>
              <w:sz w:val="32"/>
              <w:szCs w:val="32"/>
              <w:lang w:val="en-US" w:eastAsia="zh-CN"/>
            </w:rPr>
          </w:pPr>
          <w:hyperlink w:anchor="_Toc25720" w:history="1">
            <w:r>
              <w:rPr>
                <w:rFonts w:ascii="仿宋" w:eastAsia="仿宋" w:hAnsi="仿宋" w:cs="仿宋" w:hint="eastAsia"/>
                <w:color w:val="auto"/>
                <w:sz w:val="32"/>
                <w:szCs w:val="32"/>
                <w:highlight w:val="none"/>
              </w:rPr>
              <w:t xml:space="preserve">10</w:t>
            </w:r>
            <w:r>
              <w:rPr>
                <w:rFonts w:ascii="仿宋" w:eastAsia="仿宋" w:hAnsi="仿宋" w:cs="仿宋" w:hint="eastAsia"/>
                <w:kern w:val="0"/>
                <w:sz w:val="32"/>
                <w:szCs w:val="32"/>
                <w:highlight w:val="none"/>
              </w:rPr>
              <w:t xml:space="preserve">.附则</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3</w:t>
            </w:r>
          </w:hyperlink>
          <w:r>
            <w:rPr>
              <w:rFonts w:ascii="仿宋" w:eastAsia="仿宋" w:hAnsi="仿宋" w:cs="仿宋" w:hint="eastAsia"/>
              <w:color w:val="auto"/>
              <w:sz w:val="32"/>
              <w:szCs w:val="32"/>
              <w:highlight w:val="none"/>
              <w:lang w:val="en-US" w:eastAsia="zh-CN"/>
            </w:rPr>
            <w:t xml:space="preserve">8</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ascii="仿宋" w:eastAsia="仿宋" w:hAnsi="仿宋" w:cs="仿宋" w:hint="eastAsia"/>
              <w:sz w:val="32"/>
              <w:szCs w:val="32"/>
              <w:lang w:val="en-US" w:eastAsia="zh-CN"/>
            </w:rPr>
          </w:pPr>
          <w:hyperlink w:anchor="_Toc27587" w:history="1">
            <w:r>
              <w:rPr>
                <w:rFonts w:ascii="仿宋" w:eastAsia="仿宋" w:hAnsi="仿宋" w:cs="仿宋" w:hint="eastAsia"/>
                <w:kern w:val="0"/>
                <w:sz w:val="32"/>
                <w:szCs w:val="32"/>
                <w:highlight w:val="none"/>
                <w:lang w:val="en-US" w:eastAsia="zh-CN"/>
              </w:rPr>
              <w:t xml:space="preserve">10.1 预案制定与实施</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3</w:t>
            </w:r>
          </w:hyperlink>
          <w:r>
            <w:rPr>
              <w:rFonts w:ascii="仿宋" w:eastAsia="仿宋" w:hAnsi="仿宋" w:cs="仿宋" w:hint="eastAsia"/>
              <w:color w:val="auto"/>
              <w:sz w:val="32"/>
              <w:szCs w:val="32"/>
              <w:highlight w:val="none"/>
              <w:lang w:val="en-US" w:eastAsia="zh-CN"/>
            </w:rPr>
            <w:t xml:space="preserve">9</w:t>
          </w:r>
        </w:p>
        <w:p>
          <w:pPr>
            <w:pStyle w:val="TOC2"/>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firstLine="640" w:leftChars="0" w:firstLineChars="200"/>
            <w:textAlignment w:val="auto"/>
            <w:rPr>
              <w:rFonts w:eastAsia="仿宋" w:hint="eastAsia"/>
              <w:lang w:val="en-US" w:eastAsia="zh-CN"/>
            </w:rPr>
          </w:pPr>
          <w:hyperlink w:anchor="_Toc8973" w:history="1">
            <w:r>
              <w:rPr>
                <w:rFonts w:ascii="仿宋" w:eastAsia="仿宋" w:hAnsi="仿宋" w:cs="仿宋" w:hint="eastAsia"/>
                <w:kern w:val="0"/>
                <w:sz w:val="32"/>
                <w:szCs w:val="32"/>
                <w:highlight w:val="none"/>
                <w:lang w:val="en-US" w:eastAsia="zh-CN"/>
              </w:rPr>
              <w:t xml:space="preserve">10.2危险化学品生产安全事故分级标准</w:t>
            </w:r>
            <w:r>
              <w:rPr>
                <w:rFonts w:ascii="仿宋" w:eastAsia="仿宋" w:hAnsi="仿宋" w:cs="仿宋" w:hint="eastAsia"/>
                <w:sz w:val="32"/>
                <w:szCs w:val="32"/>
              </w:rPr>
              <w:tab/>
            </w:r>
            <w:r>
              <w:rPr>
                <w:rFonts w:ascii="仿宋" w:eastAsia="仿宋" w:hAnsi="仿宋" w:cs="仿宋" w:hint="eastAsia"/>
                <w:sz w:val="32"/>
                <w:szCs w:val="32"/>
                <w:lang w:val="en-US" w:eastAsia="zh-CN"/>
              </w:rPr>
              <w:t xml:space="preserve">3</w:t>
            </w:r>
          </w:hyperlink>
          <w:r>
            <w:rPr>
              <w:rFonts w:ascii="仿宋" w:eastAsia="仿宋" w:hAnsi="仿宋" w:cs="仿宋" w:hint="eastAsia"/>
              <w:color w:val="auto"/>
              <w:sz w:val="32"/>
              <w:szCs w:val="32"/>
              <w:highlight w:val="none"/>
              <w:lang w:val="en-US" w:eastAsia="zh-CN"/>
            </w:rPr>
            <w:t xml:space="preserve">9</w:t>
          </w:r>
        </w:p>
        <w:p>
          <w:pPr>
            <w:pStyle w:val="BodyTextFirstIndent"/>
            <w:spacing w:line="560" w:lineRule="exact"/>
            <w:ind w:left="11" w:hanging="11" w:firstLineChars="0"/>
            <w:rPr>
              <w:color w:val="auto"/>
              <w:highlight w:val="none"/>
            </w:rPr>
          </w:pPr>
          <w:r>
            <w:rPr>
              <w:rFonts w:ascii="仿宋" w:eastAsia="仿宋" w:hAnsi="仿宋" w:cs="仿宋" w:hint="eastAsia"/>
              <w:color w:val="auto"/>
              <w:szCs w:val="32"/>
              <w:highlight w:val="none"/>
            </w:rPr>
            <w:fldChar w:fldCharType="end"/>
          </w:r>
        </w:p>
      </w:sdtContent>
    </w:sdt>
    <w:p>
      <w:pPr>
        <w:pStyle w:val="BodyTextFirstIndent"/>
        <w:spacing w:line="560" w:lineRule="exact"/>
        <w:ind w:firstLine="280"/>
        <w:rPr>
          <w:color w:val="auto"/>
          <w:highlight w:val="none"/>
        </w:rPr>
        <w:sectPr>
          <w:footerReference w:type="default" r:id="rId32"/>
          <w:pgSz w:w="11906" w:h="16838" w:orient="portrait"/>
          <w:pgMar w:top="2098" w:right="1474" w:bottom="1984" w:left="1587" w:header="851" w:footer="1587" w:gutter="0"/>
          <w:pgNumType w:fmt="numberInDash" w:start="1"/>
          <w:cols w:num="1" w:space="0">
            <w:col w:w="8845"/>
          </w:cols>
          <w:rtlGutter w:val="0"/>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方正小标宋简体" w:eastAsia="方正小标宋简体" w:hAnsi="Calibri" w:cs="宋体"/>
          <w:b/>
          <w:bCs/>
          <w:color w:val="auto"/>
          <w:kern w:val="0"/>
          <w:sz w:val="44"/>
          <w:szCs w:val="44"/>
          <w:highlight w:val="none"/>
        </w:rPr>
      </w:pPr>
      <w:r>
        <w:rPr>
          <w:rFonts w:ascii="方正小标宋简体" w:eastAsia="方正小标宋简体" w:hAnsi="Calibri" w:cs="宋体" w:hint="eastAsia"/>
          <w:b/>
          <w:bCs/>
          <w:color w:val="auto"/>
          <w:kern w:val="0"/>
          <w:sz w:val="44"/>
          <w:szCs w:val="44"/>
          <w:highlight w:val="none"/>
        </w:rPr>
        <w:t xml:space="preserve">湟中县</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方正小标宋简体" w:eastAsia="方正小标宋简体" w:hAnsi="Calibri" w:cs="宋体"/>
          <w:color w:val="auto"/>
          <w:kern w:val="0"/>
          <w:sz w:val="44"/>
          <w:szCs w:val="44"/>
          <w:highlight w:val="none"/>
        </w:rPr>
      </w:pPr>
      <w:r>
        <w:rPr>
          <w:rFonts w:ascii="方正小标宋简体" w:eastAsia="方正小标宋简体" w:hAnsi="Calibri" w:cs="宋体" w:hint="eastAsia"/>
          <w:b/>
          <w:bCs/>
          <w:color w:val="auto"/>
          <w:kern w:val="0"/>
          <w:sz w:val="44"/>
          <w:szCs w:val="44"/>
          <w:highlight w:val="none"/>
        </w:rPr>
        <w:t xml:space="preserve">危险化学品生产安全事故应急预案</w:t>
      </w:r>
    </w:p>
    <w:p>
      <w:pPr>
        <w:widowControl/>
        <w:shd w:val="clear" w:color="auto" w:fill="FFFFFF"/>
        <w:spacing w:line="576" w:lineRule="exact"/>
        <w:jc w:val="center"/>
        <w:rPr>
          <w:rFonts w:ascii="宋体" w:hAnsi="宋体" w:cs="宋体"/>
          <w:b/>
          <w:bCs/>
          <w:color w:val="auto"/>
          <w:kern w:val="0"/>
          <w:sz w:val="28"/>
          <w:szCs w:val="28"/>
          <w:highlight w:val="none"/>
        </w:rPr>
      </w:pPr>
    </w:p>
    <w:p>
      <w:pPr>
        <w:widowControl/>
        <w:shd w:val="clear" w:color="auto" w:fill="FFFFFF"/>
        <w:spacing w:line="576" w:lineRule="exact"/>
        <w:jc w:val="center"/>
        <w:outlineLvl w:val="0"/>
        <w:rPr>
          <w:rFonts w:ascii="黑体" w:eastAsia="黑体" w:hAnsi="黑体" w:cs="宋体"/>
          <w:color w:val="auto"/>
          <w:kern w:val="0"/>
          <w:sz w:val="32"/>
          <w:szCs w:val="32"/>
          <w:highlight w:val="none"/>
        </w:rPr>
      </w:pPr>
      <w:bookmarkStart w:id="1" w:name="_Toc12310"/>
      <w:bookmarkStart w:id="2" w:name="_Toc31901"/>
      <w:bookmarkStart w:id="3" w:name="_Toc29560"/>
      <w:r>
        <w:rPr>
          <w:rFonts w:ascii="黑体" w:eastAsia="黑体" w:hAnsi="黑体" w:cs="宋体" w:hint="eastAsia"/>
          <w:color w:val="auto"/>
          <w:kern w:val="0"/>
          <w:sz w:val="32"/>
          <w:szCs w:val="32"/>
          <w:highlight w:val="none"/>
        </w:rPr>
        <w:t xml:space="preserve">1.总 则</w:t>
      </w:r>
      <w:bookmarkEnd w:id="0"/>
      <w:bookmarkEnd w:id="1"/>
      <w:bookmarkEnd w:id="2"/>
      <w:bookmarkEnd w:id="3"/>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仿宋" w:eastAsia="仿宋" w:hAnsi="仿宋" w:cs="仿宋" w:hint="eastAsia"/>
          <w:b/>
          <w:color w:val="auto"/>
          <w:kern w:val="0"/>
          <w:sz w:val="32"/>
          <w:szCs w:val="32"/>
          <w:highlight w:val="none"/>
        </w:rPr>
      </w:pPr>
      <w:bookmarkStart w:id="4" w:name="_Toc21842"/>
      <w:bookmarkStart w:id="5" w:name="_Toc28130"/>
      <w:bookmarkStart w:id="6" w:name="_Toc22398_WPSOffice_Level2"/>
      <w:bookmarkStart w:id="7" w:name="_Toc19756"/>
      <w:bookmarkStart w:id="8" w:name="_Toc9877"/>
      <w:r>
        <w:rPr>
          <w:rFonts w:ascii="楷体" w:eastAsia="楷体" w:hAnsi="楷体" w:cs="楷体" w:hint="eastAsia"/>
          <w:b/>
          <w:color w:val="auto"/>
          <w:kern w:val="0"/>
          <w:sz w:val="32"/>
          <w:szCs w:val="32"/>
          <w:highlight w:val="none"/>
        </w:rPr>
        <w:t xml:space="preserve">1.1 编制目的</w:t>
      </w:r>
      <w:bookmarkEnd w:id="4"/>
      <w:bookmarkEnd w:id="5"/>
      <w:bookmarkEnd w:id="6"/>
      <w:bookmarkEnd w:id="7"/>
      <w:bookmarkEnd w:id="8"/>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为了科学有效地预防和控制我县范围内的各类危险化学品生产安全事故，科学、高效、有序地实施应急救援工作，最大限度地避免和减少危险化学品生产安全事故所造成的人员伤亡和财产损失，保障人民群众生命安全和维护社会稳定，制定本应急预案。</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rPr>
      </w:pPr>
      <w:bookmarkStart w:id="9" w:name="_Toc9761_WPSOffice_Level2"/>
      <w:bookmarkStart w:id="10" w:name="_Toc25908"/>
      <w:bookmarkStart w:id="11" w:name="_Toc17547"/>
      <w:bookmarkStart w:id="12" w:name="_Toc3461"/>
      <w:bookmarkStart w:id="13" w:name="_Toc5147"/>
      <w:r>
        <w:rPr>
          <w:rFonts w:ascii="楷体" w:eastAsia="楷体" w:hAnsi="楷体" w:cs="楷体" w:hint="eastAsia"/>
          <w:b/>
          <w:color w:val="auto"/>
          <w:kern w:val="0"/>
          <w:sz w:val="32"/>
          <w:szCs w:val="32"/>
          <w:highlight w:val="none"/>
        </w:rPr>
        <w:t xml:space="preserve">1.2 工作原则</w:t>
      </w:r>
      <w:bookmarkEnd w:id="9"/>
      <w:bookmarkEnd w:id="10"/>
      <w:bookmarkEnd w:id="11"/>
      <w:bookmarkEnd w:id="12"/>
      <w:bookmarkEnd w:id="13"/>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ascii="仿宋" w:eastAsia="仿宋" w:hAnsi="仿宋" w:cs="仿宋" w:hint="eastAsia"/>
          <w:b w:val="0"/>
          <w:bCs w:val="0"/>
          <w:color w:val="auto"/>
          <w:kern w:val="0"/>
          <w:sz w:val="32"/>
          <w:szCs w:val="32"/>
          <w:highlight w:val="none"/>
        </w:rPr>
      </w:pPr>
      <w:bookmarkStart w:id="14" w:name="_Toc29412"/>
      <w:r>
        <w:rPr>
          <w:rFonts w:ascii="仿宋" w:eastAsia="仿宋" w:hAnsi="仿宋" w:cs="仿宋" w:hint="eastAsia"/>
          <w:b w:val="0"/>
          <w:bCs w:val="0"/>
          <w:color w:val="auto"/>
          <w:kern w:val="0"/>
          <w:sz w:val="32"/>
          <w:szCs w:val="32"/>
          <w:highlight w:val="none"/>
        </w:rPr>
        <w:t xml:space="preserve">（1）</w:t>
      </w:r>
      <w:bookmarkEnd w:id="14"/>
      <w:r>
        <w:rPr>
          <w:rFonts w:ascii="仿宋" w:eastAsia="仿宋" w:hAnsi="仿宋" w:cs="仿宋" w:hint="eastAsia"/>
          <w:b w:val="0"/>
          <w:bCs w:val="0"/>
          <w:color w:val="auto"/>
          <w:kern w:val="0"/>
          <w:sz w:val="32"/>
          <w:szCs w:val="32"/>
          <w:highlight w:val="none"/>
        </w:rPr>
        <w:t xml:space="preserve">以人为本。把保障涉险人员的生命安全和身体健康作为首要任务，最大程度地预防和减少危险化学品生产安全事故造成的人员伤亡、财产损失和社会影响。</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ascii="仿宋" w:eastAsia="仿宋" w:hAnsi="仿宋" w:cs="仿宋" w:hint="eastAsia"/>
          <w:b w:val="0"/>
          <w:bCs w:val="0"/>
          <w:color w:val="auto"/>
          <w:kern w:val="0"/>
          <w:sz w:val="32"/>
          <w:szCs w:val="32"/>
          <w:highlight w:val="none"/>
        </w:rPr>
      </w:pPr>
      <w:r>
        <w:rPr>
          <w:rFonts w:ascii="仿宋" w:eastAsia="仿宋" w:hAnsi="仿宋" w:cs="仿宋" w:hint="eastAsia"/>
          <w:b w:val="0"/>
          <w:bCs w:val="0"/>
          <w:color w:val="auto"/>
          <w:kern w:val="0"/>
          <w:sz w:val="32"/>
          <w:szCs w:val="32"/>
          <w:highlight w:val="none"/>
        </w:rPr>
        <w:t xml:space="preserve">（2）分级负责。 坚持条块结合、属地为主的原则，坚持分级管理、分级负责的原则，各乡镇人民政府（街道办事处）、县政府有关部门按照各自职责分工，落实事故的应急管理好应急处置工作；事故发生单位是事故应急处置的第一响应者。</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ascii="仿宋" w:eastAsia="仿宋" w:hAnsi="仿宋" w:cs="仿宋" w:hint="eastAsia"/>
          <w:b w:val="0"/>
          <w:bCs w:val="0"/>
          <w:color w:val="auto"/>
          <w:kern w:val="0"/>
          <w:sz w:val="32"/>
          <w:szCs w:val="32"/>
          <w:highlight w:val="none"/>
        </w:rPr>
      </w:pPr>
      <w:r>
        <w:rPr>
          <w:rFonts w:ascii="仿宋" w:eastAsia="仿宋" w:hAnsi="仿宋" w:cs="仿宋" w:hint="eastAsia"/>
          <w:b w:val="0"/>
          <w:bCs w:val="0"/>
          <w:color w:val="auto"/>
          <w:kern w:val="0"/>
          <w:sz w:val="32"/>
          <w:szCs w:val="32"/>
          <w:highlight w:val="none"/>
        </w:rPr>
        <w:t xml:space="preserve">（3）协调配合。充分发挥社会各方面力量共同参与危险化学品生产安全事故的应急处置，协调有序</w:t>
      </w:r>
      <w:bookmarkStart w:id="15" w:name="_Toc8515"/>
      <w:r>
        <w:rPr>
          <w:rFonts w:ascii="仿宋" w:eastAsia="仿宋" w:hAnsi="仿宋" w:cs="仿宋" w:hint="eastAsia"/>
          <w:b w:val="0"/>
          <w:bCs w:val="0"/>
          <w:color w:val="auto"/>
          <w:kern w:val="0"/>
          <w:sz w:val="32"/>
          <w:szCs w:val="32"/>
          <w:highlight w:val="none"/>
        </w:rPr>
        <w:t xml:space="preserve">，紧密配合。</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ascii="仿宋" w:eastAsia="仿宋" w:hAnsi="仿宋" w:cs="仿宋" w:hint="eastAsia"/>
          <w:b w:val="0"/>
          <w:bCs w:val="0"/>
          <w:color w:val="auto"/>
          <w:kern w:val="0"/>
          <w:sz w:val="32"/>
          <w:szCs w:val="32"/>
          <w:highlight w:val="none"/>
        </w:rPr>
      </w:pPr>
      <w:r>
        <w:rPr>
          <w:rFonts w:ascii="仿宋" w:eastAsia="仿宋" w:hAnsi="仿宋" w:cs="仿宋" w:hint="eastAsia"/>
          <w:b w:val="0"/>
          <w:bCs w:val="0"/>
          <w:color w:val="auto"/>
          <w:kern w:val="0"/>
          <w:sz w:val="32"/>
          <w:szCs w:val="32"/>
          <w:highlight w:val="none"/>
        </w:rPr>
        <w:t xml:space="preserve">（4）依靠科学。充分发挥专家作用，实行科学民主决策。依法规范应急救援工作，确保应急救援决策科学、指挥有力、组织有序、救援有效。</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ascii="仿宋" w:eastAsia="仿宋" w:hAnsi="仿宋" w:cs="仿宋" w:hint="eastAsia"/>
          <w:b w:val="0"/>
          <w:bCs w:val="0"/>
          <w:color w:val="auto"/>
          <w:kern w:val="0"/>
          <w:sz w:val="32"/>
          <w:szCs w:val="32"/>
          <w:highlight w:val="none"/>
        </w:rPr>
      </w:pPr>
      <w:r>
        <w:rPr>
          <w:rFonts w:ascii="仿宋" w:eastAsia="仿宋" w:hAnsi="仿宋" w:cs="仿宋" w:hint="eastAsia"/>
          <w:b w:val="0"/>
          <w:bCs w:val="0"/>
          <w:color w:val="auto"/>
          <w:kern w:val="0"/>
          <w:sz w:val="32"/>
          <w:szCs w:val="32"/>
          <w:highlight w:val="none"/>
        </w:rPr>
        <w:t xml:space="preserve">（5）资源共享。建立健全联动联防应急机制，合理有效利用社会各种应急救援力量，实现资源共享。</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val="0"/>
          <w:bCs w:val="0"/>
          <w:color w:val="auto"/>
          <w:kern w:val="0"/>
          <w:sz w:val="32"/>
          <w:szCs w:val="32"/>
          <w:highlight w:val="none"/>
        </w:rPr>
        <w:t xml:space="preserve">（6）平战结合。贯彻落实“安全第一，预防为主，综合治理”的安全生产工作方针，坚持预防准备与应急救援相结合，常态与非常态相结合。</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rPr>
      </w:pPr>
      <w:bookmarkStart w:id="16" w:name="_Toc13119"/>
      <w:bookmarkStart w:id="17" w:name="_Toc16420_WPSOffice_Level2"/>
      <w:bookmarkStart w:id="18" w:name="_Toc27984"/>
      <w:bookmarkStart w:id="19" w:name="_Toc1916"/>
      <w:r>
        <w:rPr>
          <w:rFonts w:ascii="楷体" w:eastAsia="楷体" w:hAnsi="楷体" w:cs="楷体" w:hint="eastAsia"/>
          <w:b/>
          <w:color w:val="auto"/>
          <w:kern w:val="0"/>
          <w:sz w:val="32"/>
          <w:szCs w:val="32"/>
          <w:highlight w:val="none"/>
        </w:rPr>
        <w:t xml:space="preserve">1.3 编制依据</w:t>
      </w:r>
      <w:bookmarkEnd w:id="15"/>
      <w:bookmarkEnd w:id="16"/>
      <w:bookmarkEnd w:id="17"/>
      <w:bookmarkEnd w:id="18"/>
      <w:bookmarkEnd w:id="19"/>
    </w:p>
    <w:p>
      <w:pPr>
        <w:keepNext w:val="0"/>
        <w:keepLines w:val="0"/>
        <w:pageBreakBefore w:val="0"/>
        <w:numPr>
          <w:ilvl w:val="0"/>
          <w:numId w:val="59"/>
        </w:numPr>
        <w:kinsoku/>
        <w:wordWrap/>
        <w:overflowPunct/>
        <w:topLinePunct w:val="0"/>
        <w:autoSpaceDE/>
        <w:autoSpaceDN/>
        <w:bidi w:val="0"/>
        <w:adjustRightInd/>
        <w:snapToGrid/>
        <w:spacing w:line="576" w:lineRule="exact"/>
        <w:ind w:left="0" w:firstLine="566" w:firstLineChars="177"/>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《中华人民共和国安全生产法》（中华人民共和国主席令〔2014〕第13号）；</w:t>
      </w:r>
    </w:p>
    <w:p>
      <w:pPr>
        <w:keepNext w:val="0"/>
        <w:keepLines w:val="0"/>
        <w:pageBreakBefore w:val="0"/>
        <w:numPr>
          <w:ilvl w:val="0"/>
          <w:numId w:val="59"/>
        </w:numPr>
        <w:kinsoku/>
        <w:wordWrap/>
        <w:overflowPunct/>
        <w:topLinePunct w:val="0"/>
        <w:autoSpaceDE/>
        <w:autoSpaceDN/>
        <w:bidi w:val="0"/>
        <w:adjustRightInd/>
        <w:snapToGrid/>
        <w:spacing w:line="576" w:lineRule="exact"/>
        <w:ind w:left="0" w:firstLine="566" w:firstLineChars="177"/>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《中华人民共和国消防法》（中华人民共和国主席令〔2019〕第29号）；</w:t>
      </w:r>
    </w:p>
    <w:p>
      <w:pPr>
        <w:keepNext w:val="0"/>
        <w:keepLines w:val="0"/>
        <w:pageBreakBefore w:val="0"/>
        <w:numPr>
          <w:ilvl w:val="0"/>
          <w:numId w:val="59"/>
        </w:numPr>
        <w:kinsoku/>
        <w:wordWrap/>
        <w:overflowPunct/>
        <w:topLinePunct w:val="0"/>
        <w:autoSpaceDE/>
        <w:autoSpaceDN/>
        <w:bidi w:val="0"/>
        <w:adjustRightInd/>
        <w:snapToGrid/>
        <w:spacing w:line="576" w:lineRule="exact"/>
        <w:ind w:left="0" w:firstLine="566" w:firstLineChars="177"/>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《中华人民共和国突发事件应对法》（中华人民共和国主席令〔2007〕第69号）；</w:t>
      </w:r>
    </w:p>
    <w:p>
      <w:pPr>
        <w:keepNext w:val="0"/>
        <w:keepLines w:val="0"/>
        <w:pageBreakBefore w:val="0"/>
        <w:numPr>
          <w:ilvl w:val="0"/>
          <w:numId w:val="59"/>
        </w:numPr>
        <w:kinsoku/>
        <w:wordWrap/>
        <w:overflowPunct/>
        <w:topLinePunct w:val="0"/>
        <w:autoSpaceDE/>
        <w:autoSpaceDN/>
        <w:bidi w:val="0"/>
        <w:adjustRightInd/>
        <w:snapToGrid/>
        <w:spacing w:line="576" w:lineRule="exact"/>
        <w:ind w:left="0" w:firstLine="566" w:firstLineChars="177"/>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《突发事件应急预案管理办法》（国办发〔2013〕101号）；</w:t>
      </w:r>
    </w:p>
    <w:p>
      <w:pPr>
        <w:keepNext w:val="0"/>
        <w:keepLines w:val="0"/>
        <w:pageBreakBefore w:val="0"/>
        <w:numPr>
          <w:ilvl w:val="0"/>
          <w:numId w:val="59"/>
        </w:numPr>
        <w:kinsoku/>
        <w:wordWrap/>
        <w:overflowPunct/>
        <w:topLinePunct w:val="0"/>
        <w:autoSpaceDE/>
        <w:autoSpaceDN/>
        <w:bidi w:val="0"/>
        <w:adjustRightInd/>
        <w:snapToGrid/>
        <w:spacing w:line="576" w:lineRule="exact"/>
        <w:ind w:left="0" w:firstLine="566" w:firstLineChars="177"/>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《危险化学品生产安全事故应急预案管理办法》（中华人民共和国应急管理部令〔2019〕第2号）；</w:t>
      </w:r>
    </w:p>
    <w:p>
      <w:pPr>
        <w:keepNext w:val="0"/>
        <w:keepLines w:val="0"/>
        <w:pageBreakBefore w:val="0"/>
        <w:numPr>
          <w:ilvl w:val="0"/>
          <w:numId w:val="59"/>
        </w:numPr>
        <w:kinsoku/>
        <w:wordWrap/>
        <w:overflowPunct/>
        <w:topLinePunct w:val="0"/>
        <w:autoSpaceDE/>
        <w:autoSpaceDN/>
        <w:bidi w:val="0"/>
        <w:adjustRightInd/>
        <w:snapToGrid/>
        <w:spacing w:line="576" w:lineRule="exact"/>
        <w:ind w:left="0" w:firstLine="566" w:firstLineChars="177"/>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《危险化学品生产安全事故应急条例》（中华人民共和国国务院令第〔2019〕708号）；</w:t>
      </w:r>
    </w:p>
    <w:p>
      <w:pPr>
        <w:keepNext w:val="0"/>
        <w:keepLines w:val="0"/>
        <w:pageBreakBefore w:val="0"/>
        <w:numPr>
          <w:ilvl w:val="0"/>
          <w:numId w:val="59"/>
        </w:numPr>
        <w:kinsoku/>
        <w:wordWrap/>
        <w:overflowPunct/>
        <w:topLinePunct w:val="0"/>
        <w:autoSpaceDE/>
        <w:autoSpaceDN/>
        <w:bidi w:val="0"/>
        <w:adjustRightInd/>
        <w:snapToGrid/>
        <w:spacing w:line="576" w:lineRule="exact"/>
        <w:ind w:left="0" w:firstLine="566" w:firstLineChars="177"/>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《危险化学品安全管理条例》（中华人民共和国国务院令〔2013〕第645号）；</w:t>
      </w:r>
    </w:p>
    <w:p>
      <w:pPr>
        <w:keepNext w:val="0"/>
        <w:keepLines w:val="0"/>
        <w:pageBreakBefore w:val="0"/>
        <w:numPr>
          <w:ilvl w:val="0"/>
          <w:numId w:val="59"/>
        </w:numPr>
        <w:kinsoku/>
        <w:wordWrap/>
        <w:overflowPunct/>
        <w:topLinePunct w:val="0"/>
        <w:autoSpaceDE/>
        <w:autoSpaceDN/>
        <w:bidi w:val="0"/>
        <w:adjustRightInd/>
        <w:snapToGrid/>
        <w:spacing w:line="576" w:lineRule="exact"/>
        <w:ind w:left="0" w:firstLine="566" w:firstLineChars="177"/>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《国家危险化学品生产安全事故灾难应急预案》（2006年10月）；</w:t>
      </w:r>
    </w:p>
    <w:p>
      <w:pPr>
        <w:keepNext w:val="0"/>
        <w:keepLines w:val="0"/>
        <w:pageBreakBefore w:val="0"/>
        <w:numPr>
          <w:ilvl w:val="0"/>
          <w:numId w:val="59"/>
        </w:numPr>
        <w:kinsoku/>
        <w:wordWrap/>
        <w:overflowPunct/>
        <w:topLinePunct w:val="0"/>
        <w:autoSpaceDE/>
        <w:autoSpaceDN/>
        <w:bidi w:val="0"/>
        <w:adjustRightInd/>
        <w:snapToGrid/>
        <w:spacing w:line="576" w:lineRule="exact"/>
        <w:ind w:left="0" w:firstLine="566" w:firstLineChars="177"/>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《青海省安全生产监督管理办法》（青海省政府令〔2017〕第117号）；</w:t>
      </w:r>
    </w:p>
    <w:p>
      <w:pPr>
        <w:keepNext w:val="0"/>
        <w:keepLines w:val="0"/>
        <w:pageBreakBefore w:val="0"/>
        <w:numPr>
          <w:ilvl w:val="0"/>
          <w:numId w:val="59"/>
        </w:numPr>
        <w:kinsoku/>
        <w:wordWrap/>
        <w:overflowPunct/>
        <w:topLinePunct w:val="0"/>
        <w:autoSpaceDE/>
        <w:autoSpaceDN/>
        <w:bidi w:val="0"/>
        <w:adjustRightInd/>
        <w:snapToGrid/>
        <w:spacing w:line="576" w:lineRule="exact"/>
        <w:ind w:left="0" w:firstLine="566" w:firstLineChars="177"/>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《青海省突发事件应急预案管理办法》（青政办〔2009〕38号）；</w:t>
      </w:r>
    </w:p>
    <w:p>
      <w:pPr>
        <w:keepNext w:val="0"/>
        <w:keepLines w:val="0"/>
        <w:pageBreakBefore w:val="0"/>
        <w:numPr>
          <w:ilvl w:val="0"/>
          <w:numId w:val="59"/>
        </w:numPr>
        <w:kinsoku/>
        <w:wordWrap/>
        <w:overflowPunct/>
        <w:topLinePunct w:val="0"/>
        <w:autoSpaceDE/>
        <w:autoSpaceDN/>
        <w:bidi w:val="0"/>
        <w:adjustRightInd/>
        <w:snapToGrid/>
        <w:spacing w:line="576" w:lineRule="exact"/>
        <w:ind w:left="0" w:firstLine="566" w:firstLineChars="177"/>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《青海省人民政府突发公共事件总体应急预案》（青政〔2005〕82号）；</w:t>
      </w:r>
    </w:p>
    <w:p>
      <w:pPr>
        <w:keepNext w:val="0"/>
        <w:keepLines w:val="0"/>
        <w:pageBreakBefore w:val="0"/>
        <w:numPr>
          <w:ilvl w:val="0"/>
          <w:numId w:val="59"/>
        </w:numPr>
        <w:kinsoku/>
        <w:wordWrap/>
        <w:overflowPunct/>
        <w:topLinePunct w:val="0"/>
        <w:autoSpaceDE/>
        <w:autoSpaceDN/>
        <w:bidi w:val="0"/>
        <w:adjustRightInd/>
        <w:snapToGrid/>
        <w:spacing w:line="576" w:lineRule="exact"/>
        <w:ind w:left="0" w:firstLine="566" w:firstLineChars="177"/>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《青海省危险化学品生产安全事故应急预案》（2015年修订）；</w:t>
      </w:r>
    </w:p>
    <w:p>
      <w:pPr>
        <w:keepNext w:val="0"/>
        <w:keepLines w:val="0"/>
        <w:pageBreakBefore w:val="0"/>
        <w:numPr>
          <w:ilvl w:val="0"/>
          <w:numId w:val="59"/>
        </w:numPr>
        <w:kinsoku/>
        <w:wordWrap/>
        <w:overflowPunct/>
        <w:topLinePunct w:val="0"/>
        <w:autoSpaceDE/>
        <w:autoSpaceDN/>
        <w:bidi w:val="0"/>
        <w:adjustRightInd/>
        <w:snapToGrid/>
        <w:spacing w:line="576" w:lineRule="exact"/>
        <w:ind w:left="0" w:firstLine="566" w:firstLineChars="177"/>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《青海省危险化学品生产安全事故应急救援预案》（2004年7月）；</w:t>
      </w:r>
    </w:p>
    <w:p>
      <w:pPr>
        <w:keepNext w:val="0"/>
        <w:keepLines w:val="0"/>
        <w:pageBreakBefore w:val="0"/>
        <w:numPr>
          <w:ilvl w:val="0"/>
          <w:numId w:val="59"/>
        </w:numPr>
        <w:kinsoku/>
        <w:wordWrap/>
        <w:overflowPunct/>
        <w:topLinePunct w:val="0"/>
        <w:autoSpaceDE/>
        <w:autoSpaceDN/>
        <w:bidi w:val="0"/>
        <w:adjustRightInd/>
        <w:snapToGrid/>
        <w:spacing w:line="576" w:lineRule="exact"/>
        <w:ind w:left="0" w:firstLine="566" w:firstLineChars="177"/>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《青海省危险化学品生产安全事故应急预案管理实施细则》（青安办〔2017〕88号）</w:t>
      </w:r>
      <w:r>
        <w:rPr>
          <w:rFonts w:ascii="仿宋" w:eastAsia="仿宋" w:hAnsi="仿宋" w:cs="仿宋" w:hint="eastAsia"/>
          <w:color w:val="auto"/>
          <w:kern w:val="0"/>
          <w:sz w:val="32"/>
          <w:szCs w:val="32"/>
          <w:highlight w:val="none"/>
          <w:lang w:eastAsia="zh-CN"/>
        </w:rPr>
        <w:t xml:space="preserve">；</w:t>
      </w:r>
    </w:p>
    <w:p>
      <w:pPr>
        <w:keepNext w:val="0"/>
        <w:keepLines w:val="0"/>
        <w:pageBreakBefore w:val="0"/>
        <w:numPr>
          <w:ilvl w:val="0"/>
          <w:numId w:val="59"/>
        </w:numPr>
        <w:kinsoku/>
        <w:wordWrap/>
        <w:overflowPunct/>
        <w:topLinePunct w:val="0"/>
        <w:autoSpaceDE/>
        <w:autoSpaceDN/>
        <w:bidi w:val="0"/>
        <w:adjustRightInd/>
        <w:snapToGrid/>
        <w:spacing w:line="576" w:lineRule="exact"/>
        <w:ind w:left="0" w:firstLine="566" w:firstLineChars="177"/>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《西宁市安全生产办法》（西宁市人民政府令〔2018〕第154号，2018年3月1日起施行）</w:t>
      </w:r>
      <w:r>
        <w:rPr>
          <w:rFonts w:ascii="仿宋" w:eastAsia="仿宋" w:hAnsi="仿宋" w:cs="仿宋" w:hint="eastAsia"/>
          <w:color w:val="auto"/>
          <w:kern w:val="0"/>
          <w:sz w:val="32"/>
          <w:szCs w:val="32"/>
          <w:highlight w:val="none"/>
          <w:lang w:eastAsia="zh-CN"/>
        </w:rPr>
        <w:t xml:space="preserve">；</w:t>
      </w:r>
    </w:p>
    <w:p>
      <w:pPr>
        <w:keepNext w:val="0"/>
        <w:keepLines w:val="0"/>
        <w:pageBreakBefore w:val="0"/>
        <w:numPr>
          <w:ilvl w:val="0"/>
          <w:numId w:val="59"/>
        </w:numPr>
        <w:kinsoku/>
        <w:wordWrap/>
        <w:overflowPunct/>
        <w:topLinePunct w:val="0"/>
        <w:autoSpaceDE/>
        <w:autoSpaceDN/>
        <w:bidi w:val="0"/>
        <w:adjustRightInd/>
        <w:snapToGrid/>
        <w:spacing w:line="576" w:lineRule="exact"/>
        <w:ind w:left="0" w:firstLine="566" w:firstLineChars="177"/>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《西宁市人民政府突发公共事件总体应急预案》（宁政办〔2006〕87号）</w:t>
      </w:r>
      <w:r>
        <w:rPr>
          <w:rFonts w:ascii="仿宋" w:eastAsia="仿宋" w:hAnsi="仿宋" w:cs="仿宋" w:hint="eastAsia"/>
          <w:color w:val="auto"/>
          <w:kern w:val="0"/>
          <w:sz w:val="32"/>
          <w:szCs w:val="32"/>
          <w:highlight w:val="none"/>
          <w:lang w:eastAsia="zh-CN"/>
        </w:rPr>
        <w:t xml:space="preserve">；</w:t>
      </w:r>
    </w:p>
    <w:p>
      <w:pPr>
        <w:keepNext w:val="0"/>
        <w:keepLines w:val="0"/>
        <w:pageBreakBefore w:val="0"/>
        <w:numPr>
          <w:ilvl w:val="0"/>
          <w:numId w:val="59"/>
        </w:numPr>
        <w:kinsoku/>
        <w:wordWrap/>
        <w:overflowPunct/>
        <w:topLinePunct w:val="0"/>
        <w:autoSpaceDE/>
        <w:autoSpaceDN/>
        <w:bidi w:val="0"/>
        <w:adjustRightInd/>
        <w:snapToGrid/>
        <w:spacing w:line="576" w:lineRule="exact"/>
        <w:ind w:left="0" w:firstLine="566" w:firstLineChars="177"/>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《西宁市重特大危险化学品生产安全事故应急救援预案》</w:t>
      </w:r>
      <w:r>
        <w:rPr>
          <w:rFonts w:ascii="仿宋" w:eastAsia="仿宋" w:hAnsi="仿宋" w:cs="仿宋" w:hint="eastAsia"/>
          <w:color w:val="auto"/>
          <w:kern w:val="0"/>
          <w:sz w:val="32"/>
          <w:szCs w:val="32"/>
          <w:highlight w:val="none"/>
          <w:lang w:eastAsia="zh-CN"/>
        </w:rPr>
        <w:t xml:space="preserve">；</w:t>
      </w:r>
    </w:p>
    <w:p>
      <w:pPr>
        <w:keepNext w:val="0"/>
        <w:keepLines w:val="0"/>
        <w:pageBreakBefore w:val="0"/>
        <w:numPr>
          <w:ilvl w:val="0"/>
          <w:numId w:val="59"/>
        </w:numPr>
        <w:kinsoku/>
        <w:wordWrap/>
        <w:overflowPunct/>
        <w:topLinePunct w:val="0"/>
        <w:autoSpaceDE/>
        <w:autoSpaceDN/>
        <w:bidi w:val="0"/>
        <w:adjustRightInd/>
        <w:snapToGrid/>
        <w:spacing w:line="576" w:lineRule="exact"/>
        <w:ind w:left="0" w:firstLine="566" w:firstLineChars="177"/>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《液氨泄漏的处理处置方法》（HG/T 4686-2014）</w:t>
      </w:r>
      <w:r>
        <w:rPr>
          <w:rFonts w:ascii="仿宋" w:eastAsia="仿宋" w:hAnsi="仿宋" w:cs="仿宋" w:hint="eastAsia"/>
          <w:color w:val="auto"/>
          <w:kern w:val="0"/>
          <w:sz w:val="32"/>
          <w:szCs w:val="32"/>
          <w:highlight w:val="none"/>
          <w:lang w:eastAsia="zh-CN"/>
        </w:rPr>
        <w:t xml:space="preserve">；</w:t>
      </w:r>
    </w:p>
    <w:p>
      <w:pPr>
        <w:keepNext w:val="0"/>
        <w:keepLines w:val="0"/>
        <w:pageBreakBefore w:val="0"/>
        <w:numPr>
          <w:ilvl w:val="0"/>
          <w:numId w:val="59"/>
        </w:numPr>
        <w:kinsoku/>
        <w:wordWrap/>
        <w:overflowPunct/>
        <w:topLinePunct w:val="0"/>
        <w:autoSpaceDE/>
        <w:autoSpaceDN/>
        <w:bidi w:val="0"/>
        <w:adjustRightInd/>
        <w:snapToGrid/>
        <w:spacing w:line="576" w:lineRule="exact"/>
        <w:ind w:left="0" w:firstLine="566" w:firstLineChars="177"/>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《液氯使用安全技术要求》（AQ 3014-2008）</w:t>
      </w:r>
      <w:r>
        <w:rPr>
          <w:rFonts w:ascii="仿宋" w:eastAsia="仿宋" w:hAnsi="仿宋" w:cs="仿宋" w:hint="eastAsia"/>
          <w:color w:val="auto"/>
          <w:kern w:val="0"/>
          <w:sz w:val="32"/>
          <w:szCs w:val="32"/>
          <w:highlight w:val="none"/>
          <w:lang w:eastAsia="zh-CN"/>
        </w:rPr>
        <w:t xml:space="preserve">；</w:t>
      </w:r>
      <w:r>
        <w:rPr>
          <w:rFonts w:ascii="仿宋" w:eastAsia="仿宋" w:hAnsi="仿宋" w:cs="仿宋" w:hint="eastAsia"/>
          <w:color w:val="auto"/>
          <w:kern w:val="0"/>
          <w:sz w:val="32"/>
          <w:szCs w:val="32"/>
          <w:highlight w:val="none"/>
        </w:rPr>
        <w:t xml:space="preserve"> </w:t>
      </w:r>
    </w:p>
    <w:p>
      <w:pPr>
        <w:keepNext w:val="0"/>
        <w:keepLines w:val="0"/>
        <w:pageBreakBefore w:val="0"/>
        <w:numPr>
          <w:ilvl w:val="0"/>
          <w:numId w:val="59"/>
        </w:numPr>
        <w:kinsoku/>
        <w:wordWrap/>
        <w:overflowPunct/>
        <w:topLinePunct w:val="0"/>
        <w:autoSpaceDE/>
        <w:autoSpaceDN/>
        <w:bidi w:val="0"/>
        <w:adjustRightInd/>
        <w:snapToGrid/>
        <w:spacing w:line="576" w:lineRule="exact"/>
        <w:ind w:left="0" w:firstLine="566" w:firstLineChars="177"/>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《石油天然气安全规程》（AQ 2012-2007）</w:t>
      </w:r>
      <w:r>
        <w:rPr>
          <w:rFonts w:ascii="仿宋" w:eastAsia="仿宋" w:hAnsi="仿宋" w:cs="仿宋" w:hint="eastAsia"/>
          <w:color w:val="auto"/>
          <w:kern w:val="0"/>
          <w:sz w:val="32"/>
          <w:szCs w:val="32"/>
          <w:highlight w:val="none"/>
          <w:lang w:eastAsia="zh-CN"/>
        </w:rPr>
        <w:t xml:space="preserve">；</w:t>
      </w:r>
    </w:p>
    <w:p>
      <w:pPr>
        <w:keepNext w:val="0"/>
        <w:keepLines w:val="0"/>
        <w:pageBreakBefore w:val="0"/>
        <w:numPr>
          <w:ilvl w:val="0"/>
          <w:numId w:val="59"/>
        </w:numPr>
        <w:kinsoku/>
        <w:wordWrap/>
        <w:overflowPunct/>
        <w:topLinePunct w:val="0"/>
        <w:autoSpaceDE/>
        <w:autoSpaceDN/>
        <w:bidi w:val="0"/>
        <w:adjustRightInd/>
        <w:snapToGrid/>
        <w:spacing w:line="576" w:lineRule="exact"/>
        <w:ind w:left="0" w:firstLine="566" w:firstLineChars="177"/>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《煤气隔断装置安全技术规范》（AQ 2048-2012）</w:t>
      </w:r>
      <w:r>
        <w:rPr>
          <w:rFonts w:ascii="仿宋" w:eastAsia="仿宋" w:hAnsi="仿宋" w:cs="仿宋" w:hint="eastAsia"/>
          <w:color w:val="auto"/>
          <w:kern w:val="0"/>
          <w:sz w:val="32"/>
          <w:szCs w:val="32"/>
          <w:highlight w:val="none"/>
          <w:lang w:eastAsia="zh-CN"/>
        </w:rPr>
        <w:t xml:space="preserve">；</w:t>
      </w:r>
    </w:p>
    <w:p>
      <w:pPr>
        <w:keepNext w:val="0"/>
        <w:keepLines w:val="0"/>
        <w:pageBreakBefore w:val="0"/>
        <w:numPr>
          <w:ilvl w:val="0"/>
          <w:numId w:val="59"/>
        </w:numPr>
        <w:kinsoku/>
        <w:wordWrap/>
        <w:overflowPunct/>
        <w:topLinePunct w:val="0"/>
        <w:autoSpaceDE/>
        <w:autoSpaceDN/>
        <w:bidi w:val="0"/>
        <w:adjustRightInd/>
        <w:snapToGrid/>
        <w:spacing w:line="576" w:lineRule="exact"/>
        <w:ind w:left="0" w:firstLine="566" w:firstLineChars="177"/>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《工业企业煤气安全规程》（GB 6222-2005）</w:t>
      </w:r>
      <w:r>
        <w:rPr>
          <w:rFonts w:ascii="仿宋" w:eastAsia="仿宋" w:hAnsi="仿宋" w:cs="仿宋" w:hint="eastAsia"/>
          <w:color w:val="auto"/>
          <w:kern w:val="0"/>
          <w:sz w:val="32"/>
          <w:szCs w:val="32"/>
          <w:highlight w:val="none"/>
          <w:lang w:eastAsia="zh-CN"/>
        </w:rPr>
        <w:t xml:space="preserve">；</w:t>
      </w:r>
    </w:p>
    <w:p>
      <w:pPr>
        <w:keepNext w:val="0"/>
        <w:keepLines w:val="0"/>
        <w:pageBreakBefore w:val="0"/>
        <w:numPr>
          <w:ilvl w:val="0"/>
          <w:numId w:val="59"/>
        </w:numPr>
        <w:kinsoku/>
        <w:wordWrap/>
        <w:overflowPunct/>
        <w:topLinePunct w:val="0"/>
        <w:autoSpaceDE/>
        <w:autoSpaceDN/>
        <w:bidi w:val="0"/>
        <w:adjustRightInd/>
        <w:snapToGrid/>
        <w:spacing w:line="576" w:lineRule="exact"/>
        <w:ind w:left="0" w:firstLine="566" w:firstLineChars="177"/>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《工业企业干式煤气柜安全技术规范》（GB 51066-2014）</w:t>
      </w:r>
      <w:r>
        <w:rPr>
          <w:rFonts w:ascii="仿宋" w:eastAsia="仿宋" w:hAnsi="仿宋" w:cs="仿宋" w:hint="eastAsia"/>
          <w:color w:val="auto"/>
          <w:kern w:val="0"/>
          <w:sz w:val="32"/>
          <w:szCs w:val="32"/>
          <w:highlight w:val="none"/>
          <w:lang w:eastAsia="zh-CN"/>
        </w:rPr>
        <w:t xml:space="preserve">。</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rPr>
      </w:pPr>
      <w:bookmarkStart w:id="20" w:name="_Toc17580"/>
      <w:bookmarkStart w:id="21" w:name="_Toc5986"/>
      <w:bookmarkStart w:id="22" w:name="_Toc11510"/>
      <w:bookmarkStart w:id="23" w:name="_Toc4042"/>
      <w:bookmarkStart w:id="24" w:name="_Toc9542_WPSOffice_Level2"/>
      <w:r>
        <w:rPr>
          <w:rFonts w:ascii="楷体" w:eastAsia="楷体" w:hAnsi="楷体" w:cs="楷体" w:hint="eastAsia"/>
          <w:b/>
          <w:color w:val="auto"/>
          <w:kern w:val="0"/>
          <w:sz w:val="32"/>
          <w:szCs w:val="32"/>
          <w:highlight w:val="none"/>
        </w:rPr>
        <w:t xml:space="preserve">1.4 适用范围</w:t>
      </w:r>
      <w:bookmarkEnd w:id="20"/>
      <w:bookmarkEnd w:id="21"/>
      <w:bookmarkEnd w:id="22"/>
      <w:bookmarkEnd w:id="23"/>
      <w:bookmarkEnd w:id="24"/>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本预案适用于湟中县内甘河工业园区以外危险化学品经营、储存、使用、运输和废弃处置过程中发生火灾、爆炸和易燃易爆物质或有毒物质泄漏等事故，可能导致一般（IV级）事故的应急救援工作和较大（Ⅲ级）、重大（Ⅱ级）、特别重大（I级）事故的先期处置工作</w:t>
      </w:r>
      <w:r>
        <w:rPr>
          <w:rFonts w:ascii="仿宋" w:eastAsia="仿宋" w:hAnsi="仿宋" w:cs="仿宋" w:hint="eastAsia"/>
          <w:color w:val="auto"/>
          <w:kern w:val="0"/>
          <w:sz w:val="32"/>
          <w:szCs w:val="32"/>
          <w:highlight w:val="none"/>
          <w:lang w:eastAsia="zh-CN"/>
        </w:rPr>
        <w:t xml:space="preserve">（</w:t>
      </w:r>
      <w:r>
        <w:rPr>
          <w:rFonts w:ascii="仿宋" w:eastAsia="仿宋" w:hAnsi="仿宋" w:cs="仿宋" w:hint="eastAsia"/>
          <w:color w:val="auto"/>
          <w:kern w:val="0"/>
          <w:sz w:val="32"/>
          <w:szCs w:val="32"/>
          <w:highlight w:val="none"/>
          <w:lang w:val="en-US" w:eastAsia="zh-CN"/>
        </w:rPr>
        <w:t xml:space="preserve">甘河工业园区危险化学品生产安全事故的应急处置按照甘河工业园区应急预案执行</w:t>
      </w:r>
      <w:r>
        <w:rPr>
          <w:rFonts w:ascii="仿宋" w:eastAsia="仿宋" w:hAnsi="仿宋" w:cs="仿宋" w:hint="eastAsia"/>
          <w:color w:val="auto"/>
          <w:kern w:val="0"/>
          <w:sz w:val="32"/>
          <w:szCs w:val="32"/>
          <w:highlight w:val="none"/>
          <w:lang w:eastAsia="zh-CN"/>
        </w:rPr>
        <w:t xml:space="preserve">）</w:t>
      </w:r>
      <w:r>
        <w:rPr>
          <w:rFonts w:ascii="仿宋" w:eastAsia="仿宋" w:hAnsi="仿宋" w:cs="仿宋" w:hint="eastAsia"/>
          <w:color w:val="auto"/>
          <w:kern w:val="0"/>
          <w:sz w:val="32"/>
          <w:szCs w:val="32"/>
          <w:highlight w:val="none"/>
        </w:rPr>
        <w:t xml:space="preserve">：</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（1）造成或可能造成3人以下死亡，或10人以下重伤，或1000万元以下直接经济损失的一般（IV级）危险化学品生产安全事故；</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（2）超出相关部门、乡镇应急处置能力的危险化学品生产安全事故；</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（3）跨区域、或跨多个行业和部门，需要县政府协调处置的危险化学品生产安全事故；</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（4）市政府指令由我县处置或协助处置的事故；</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（5）县政府认为需要作出应急响应的危险化学品生产安全事故。</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特别重大（I级）危险化学品生产安全事故应急救援工作按国家相关预案执行，我县配合做好前期应急处置有关工作。</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重大（Ⅱ级）危险化学品生产安全事故应急救援工作按青海省相关预案执行，我县配合做好前期应急处置有关工作。</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较大（Ⅲ级）危险化学品生产安全事故应急救援工作按西宁市相关预案执行，我县应急指挥部及其成员单位配合做好前期应急处置有关工作。</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ascii="仿宋" w:eastAsia="仿宋" w:hAnsi="仿宋" w:cs="仿宋" w:hint="eastAsia"/>
          <w:color w:val="auto"/>
          <w:kern w:val="0"/>
          <w:sz w:val="32"/>
          <w:szCs w:val="32"/>
          <w:highlight w:val="none"/>
        </w:rPr>
      </w:pPr>
      <w:bookmarkStart w:id="25" w:name="_Toc14208"/>
      <w:bookmarkStart w:id="26" w:name="_Toc15735"/>
    </w:p>
    <w:p>
      <w:pPr>
        <w:widowControl/>
        <w:shd w:val="clear" w:color="auto" w:fill="FFFFFF"/>
        <w:spacing w:line="576" w:lineRule="exact"/>
        <w:jc w:val="center"/>
        <w:outlineLvl w:val="0"/>
        <w:rPr>
          <w:rFonts w:ascii="黑体" w:eastAsia="黑体" w:hAnsi="黑体" w:cs="宋体" w:hint="eastAsia"/>
          <w:color w:val="auto"/>
          <w:kern w:val="0"/>
          <w:sz w:val="32"/>
          <w:szCs w:val="32"/>
          <w:highlight w:val="none"/>
        </w:rPr>
      </w:pPr>
      <w:bookmarkStart w:id="27" w:name="_Toc9147"/>
      <w:r>
        <w:rPr>
          <w:rFonts w:ascii="黑体" w:eastAsia="黑体" w:hAnsi="黑体" w:cs="宋体" w:hint="eastAsia"/>
          <w:color w:val="auto"/>
          <w:kern w:val="0"/>
          <w:sz w:val="32"/>
          <w:szCs w:val="32"/>
          <w:highlight w:val="none"/>
        </w:rPr>
        <w:t xml:space="preserve">2.主要危险性源分析</w:t>
      </w:r>
      <w:bookmarkEnd w:id="25"/>
      <w:bookmarkEnd w:id="26"/>
      <w:bookmarkEnd w:id="27"/>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ascii="仿宋" w:eastAsia="仿宋" w:hAnsi="仿宋" w:cs="仿宋" w:hint="eastAsia"/>
          <w:color w:val="auto"/>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rPr>
      </w:pPr>
      <w:bookmarkStart w:id="28" w:name="_Toc27274"/>
      <w:bookmarkStart w:id="29" w:name="_Toc29437"/>
      <w:bookmarkStart w:id="30" w:name="_Toc22385"/>
      <w:r>
        <w:rPr>
          <w:rFonts w:ascii="楷体" w:eastAsia="楷体" w:hAnsi="楷体" w:cs="楷体" w:hint="eastAsia"/>
          <w:b/>
          <w:color w:val="auto"/>
          <w:kern w:val="0"/>
          <w:sz w:val="32"/>
          <w:szCs w:val="32"/>
          <w:highlight w:val="none"/>
        </w:rPr>
        <w:t xml:space="preserve">2.1 湟中县涉及的危险化学品情况</w:t>
      </w:r>
      <w:bookmarkEnd w:id="28"/>
      <w:bookmarkEnd w:id="29"/>
      <w:bookmarkEnd w:id="30"/>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rFonts w:ascii="仿宋" w:eastAsia="仿宋" w:hAnsi="仿宋" w:cs="仿宋" w:hint="eastAsia"/>
          <w:b/>
          <w:bCs/>
          <w:color w:val="auto"/>
          <w:kern w:val="0"/>
          <w:sz w:val="32"/>
          <w:szCs w:val="32"/>
          <w:highlight w:val="none"/>
        </w:rPr>
      </w:pPr>
      <w:r>
        <w:rPr>
          <w:rFonts w:ascii="仿宋" w:eastAsia="仿宋" w:hAnsi="仿宋" w:cs="仿宋" w:hint="eastAsia"/>
          <w:color w:val="auto"/>
          <w:kern w:val="0"/>
          <w:sz w:val="32"/>
          <w:szCs w:val="32"/>
          <w:highlight w:val="none"/>
        </w:rPr>
        <w:t xml:space="preserve">湟中县境内有加油站35座、油库1座、非药品易制毒企业4家以及危险化学品开票经营（商贸）企业5家。境内除甘河工业园区外涉及危险化学品重大危险源1处，所涉及的重大危险源具体情况详见下表：</w:t>
      </w:r>
    </w:p>
    <w:p>
      <w:pPr>
        <w:keepNext w:val="0"/>
        <w:keepLines w:val="0"/>
        <w:pageBreakBefore w:val="0"/>
        <w:kinsoku/>
        <w:wordWrap/>
        <w:overflowPunct/>
        <w:topLinePunct w:val="0"/>
        <w:autoSpaceDE/>
        <w:autoSpaceDN/>
        <w:bidi w:val="0"/>
        <w:adjustRightInd/>
        <w:snapToGrid/>
        <w:spacing w:line="576" w:lineRule="exact"/>
        <w:ind w:left="0"/>
        <w:jc w:val="center"/>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危险化学品重大危险源分布情况表</w:t>
      </w:r>
    </w:p>
    <w:tbl>
      <w:tblPr>
        <w:tblStyle w:val="TableGrid"/>
        <w:tblW w:w="879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64"/>
        <w:gridCol w:w="780"/>
        <w:gridCol w:w="1599"/>
        <w:gridCol w:w="1134"/>
        <w:gridCol w:w="4122"/>
        <w:gridCol w:w="600"/>
      </w:tblGrid>
      <w:tr>
        <w:tblPrEx>
          <w:tblW w:w="879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564" w:type="dxa"/>
            <w:vAlign w:val="center"/>
          </w:tcPr>
          <w:p>
            <w:pPr>
              <w:keepNext w:val="0"/>
              <w:keepLines w:val="0"/>
              <w:pageBreakBefore w:val="0"/>
              <w:kinsoku/>
              <w:wordWrap/>
              <w:overflowPunct/>
              <w:topLinePunct w:val="0"/>
              <w:autoSpaceDE/>
              <w:autoSpaceDN/>
              <w:bidi w:val="0"/>
              <w:adjustRightInd/>
              <w:snapToGrid/>
              <w:spacing w:line="576" w:lineRule="exact"/>
              <w:ind w:left="0"/>
              <w:jc w:val="center"/>
              <w:textAlignment w:val="auto"/>
              <w:rPr>
                <w:rFonts w:ascii="仿宋" w:eastAsia="仿宋" w:hAnsi="仿宋" w:cs="仿宋" w:hint="eastAsia"/>
                <w:b/>
                <w:bCs/>
                <w:color w:val="auto"/>
                <w:kern w:val="0"/>
                <w:sz w:val="24"/>
                <w:szCs w:val="24"/>
                <w:highlight w:val="none"/>
              </w:rPr>
            </w:pPr>
            <w:r>
              <w:rPr>
                <w:rFonts w:ascii="仿宋" w:eastAsia="仿宋" w:hAnsi="仿宋" w:cs="仿宋" w:hint="eastAsia"/>
                <w:b/>
                <w:bCs/>
                <w:color w:val="auto"/>
                <w:kern w:val="0"/>
                <w:sz w:val="24"/>
                <w:szCs w:val="24"/>
                <w:highlight w:val="none"/>
              </w:rPr>
              <w:t xml:space="preserve">序号</w:t>
            </w:r>
          </w:p>
        </w:tc>
        <w:tc>
          <w:tcPr>
            <w:tcW w:w="780" w:type="dxa"/>
            <w:vAlign w:val="center"/>
          </w:tcPr>
          <w:p>
            <w:pPr>
              <w:keepNext w:val="0"/>
              <w:keepLines w:val="0"/>
              <w:pageBreakBefore w:val="0"/>
              <w:kinsoku/>
              <w:wordWrap/>
              <w:overflowPunct/>
              <w:topLinePunct w:val="0"/>
              <w:autoSpaceDE/>
              <w:autoSpaceDN/>
              <w:bidi w:val="0"/>
              <w:adjustRightInd/>
              <w:snapToGrid/>
              <w:spacing w:line="576" w:lineRule="exact"/>
              <w:ind w:left="0"/>
              <w:jc w:val="center"/>
              <w:textAlignment w:val="auto"/>
              <w:rPr>
                <w:rFonts w:ascii="仿宋" w:eastAsia="仿宋" w:hAnsi="仿宋" w:cs="仿宋" w:hint="eastAsia"/>
                <w:b/>
                <w:bCs/>
                <w:color w:val="auto"/>
                <w:kern w:val="0"/>
                <w:sz w:val="24"/>
                <w:szCs w:val="24"/>
                <w:highlight w:val="none"/>
              </w:rPr>
            </w:pPr>
            <w:r>
              <w:rPr>
                <w:rFonts w:ascii="仿宋" w:eastAsia="仿宋" w:hAnsi="仿宋" w:cs="仿宋" w:hint="eastAsia"/>
                <w:b/>
                <w:bCs/>
                <w:color w:val="auto"/>
                <w:kern w:val="0"/>
                <w:sz w:val="24"/>
                <w:szCs w:val="24"/>
                <w:highlight w:val="none"/>
              </w:rPr>
              <w:t xml:space="preserve">所在区域</w:t>
            </w:r>
          </w:p>
        </w:tc>
        <w:tc>
          <w:tcPr>
            <w:tcW w:w="1599" w:type="dxa"/>
            <w:vAlign w:val="center"/>
          </w:tcPr>
          <w:p>
            <w:pPr>
              <w:keepNext w:val="0"/>
              <w:keepLines w:val="0"/>
              <w:pageBreakBefore w:val="0"/>
              <w:kinsoku/>
              <w:wordWrap/>
              <w:overflowPunct/>
              <w:topLinePunct w:val="0"/>
              <w:autoSpaceDE/>
              <w:autoSpaceDN/>
              <w:bidi w:val="0"/>
              <w:adjustRightInd/>
              <w:snapToGrid/>
              <w:spacing w:line="576" w:lineRule="exact"/>
              <w:ind w:left="0"/>
              <w:jc w:val="center"/>
              <w:textAlignment w:val="auto"/>
              <w:rPr>
                <w:rFonts w:ascii="仿宋" w:eastAsia="仿宋" w:hAnsi="仿宋" w:cs="仿宋" w:hint="eastAsia"/>
                <w:b/>
                <w:bCs/>
                <w:color w:val="auto"/>
                <w:kern w:val="0"/>
                <w:sz w:val="24"/>
                <w:szCs w:val="24"/>
                <w:highlight w:val="none"/>
              </w:rPr>
            </w:pPr>
            <w:r>
              <w:rPr>
                <w:rFonts w:ascii="仿宋" w:eastAsia="仿宋" w:hAnsi="仿宋" w:cs="仿宋" w:hint="eastAsia"/>
                <w:b/>
                <w:bCs/>
                <w:color w:val="auto"/>
                <w:kern w:val="0"/>
                <w:sz w:val="24"/>
                <w:szCs w:val="24"/>
                <w:highlight w:val="none"/>
              </w:rPr>
              <w:t xml:space="preserve">企业名称</w:t>
            </w:r>
          </w:p>
        </w:tc>
        <w:tc>
          <w:tcPr>
            <w:tcW w:w="1134" w:type="dxa"/>
            <w:vAlign w:val="center"/>
          </w:tcPr>
          <w:p>
            <w:pPr>
              <w:keepNext w:val="0"/>
              <w:keepLines w:val="0"/>
              <w:pageBreakBefore w:val="0"/>
              <w:kinsoku/>
              <w:wordWrap/>
              <w:overflowPunct/>
              <w:topLinePunct w:val="0"/>
              <w:autoSpaceDE/>
              <w:autoSpaceDN/>
              <w:bidi w:val="0"/>
              <w:adjustRightInd/>
              <w:snapToGrid/>
              <w:spacing w:line="576" w:lineRule="exact"/>
              <w:ind w:left="0"/>
              <w:jc w:val="center"/>
              <w:textAlignment w:val="auto"/>
              <w:rPr>
                <w:rFonts w:ascii="仿宋" w:eastAsia="仿宋" w:hAnsi="仿宋" w:cs="仿宋" w:hint="eastAsia"/>
                <w:b/>
                <w:bCs/>
                <w:color w:val="auto"/>
                <w:kern w:val="0"/>
                <w:sz w:val="24"/>
                <w:szCs w:val="24"/>
                <w:highlight w:val="none"/>
              </w:rPr>
            </w:pPr>
            <w:r>
              <w:rPr>
                <w:rFonts w:ascii="仿宋" w:eastAsia="仿宋" w:hAnsi="仿宋" w:cs="仿宋" w:hint="eastAsia"/>
                <w:b/>
                <w:bCs/>
                <w:color w:val="auto"/>
                <w:kern w:val="0"/>
                <w:sz w:val="24"/>
                <w:szCs w:val="24"/>
                <w:highlight w:val="none"/>
              </w:rPr>
              <w:t xml:space="preserve">单元名称</w:t>
            </w:r>
          </w:p>
        </w:tc>
        <w:tc>
          <w:tcPr>
            <w:tcW w:w="4122" w:type="dxa"/>
            <w:vAlign w:val="center"/>
          </w:tcPr>
          <w:p>
            <w:pPr>
              <w:keepNext w:val="0"/>
              <w:keepLines w:val="0"/>
              <w:pageBreakBefore w:val="0"/>
              <w:kinsoku/>
              <w:wordWrap/>
              <w:overflowPunct/>
              <w:topLinePunct w:val="0"/>
              <w:autoSpaceDE/>
              <w:autoSpaceDN/>
              <w:bidi w:val="0"/>
              <w:adjustRightInd/>
              <w:snapToGrid/>
              <w:spacing w:line="576" w:lineRule="exact"/>
              <w:ind w:left="0"/>
              <w:jc w:val="center"/>
              <w:textAlignment w:val="auto"/>
              <w:rPr>
                <w:rFonts w:ascii="仿宋" w:eastAsia="仿宋" w:hAnsi="仿宋" w:cs="仿宋" w:hint="eastAsia"/>
                <w:b/>
                <w:bCs/>
                <w:color w:val="auto"/>
                <w:kern w:val="0"/>
                <w:sz w:val="24"/>
                <w:szCs w:val="24"/>
                <w:highlight w:val="none"/>
              </w:rPr>
            </w:pPr>
            <w:r>
              <w:rPr>
                <w:rFonts w:ascii="仿宋" w:eastAsia="仿宋" w:hAnsi="仿宋" w:cs="仿宋" w:hint="eastAsia"/>
                <w:b/>
                <w:bCs/>
                <w:color w:val="auto"/>
                <w:kern w:val="0"/>
                <w:sz w:val="24"/>
                <w:szCs w:val="24"/>
                <w:highlight w:val="none"/>
              </w:rPr>
              <w:t xml:space="preserve">详细情况</w:t>
            </w:r>
          </w:p>
        </w:tc>
        <w:tc>
          <w:tcPr>
            <w:tcW w:w="600" w:type="dxa"/>
            <w:vAlign w:val="center"/>
          </w:tcPr>
          <w:p>
            <w:pPr>
              <w:keepNext w:val="0"/>
              <w:keepLines w:val="0"/>
              <w:pageBreakBefore w:val="0"/>
              <w:kinsoku/>
              <w:wordWrap/>
              <w:overflowPunct/>
              <w:topLinePunct w:val="0"/>
              <w:autoSpaceDE/>
              <w:autoSpaceDN/>
              <w:bidi w:val="0"/>
              <w:adjustRightInd/>
              <w:snapToGrid/>
              <w:spacing w:line="576" w:lineRule="exact"/>
              <w:ind w:left="0"/>
              <w:jc w:val="center"/>
              <w:textAlignment w:val="auto"/>
              <w:rPr>
                <w:rFonts w:ascii="仿宋" w:eastAsia="仿宋" w:hAnsi="仿宋" w:cs="仿宋" w:hint="eastAsia"/>
                <w:b/>
                <w:bCs/>
                <w:color w:val="auto"/>
                <w:kern w:val="0"/>
                <w:sz w:val="24"/>
                <w:szCs w:val="24"/>
                <w:highlight w:val="none"/>
              </w:rPr>
            </w:pPr>
            <w:r>
              <w:rPr>
                <w:rFonts w:ascii="仿宋" w:eastAsia="仿宋" w:hAnsi="仿宋" w:cs="仿宋" w:hint="eastAsia"/>
                <w:b/>
                <w:bCs/>
                <w:color w:val="auto"/>
                <w:kern w:val="0"/>
                <w:sz w:val="24"/>
                <w:szCs w:val="24"/>
                <w:highlight w:val="none"/>
              </w:rPr>
              <w:t xml:space="preserve">级别</w:t>
            </w:r>
          </w:p>
        </w:tc>
      </w:tr>
      <w:tr>
        <w:tblPrEx>
          <w:tblW w:w="879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99"/>
        </w:trPr>
        <w:tc>
          <w:tcPr>
            <w:tcW w:w="564" w:type="dxa"/>
            <w:vAlign w:val="center"/>
          </w:tcPr>
          <w:p>
            <w:pPr>
              <w:keepNext w:val="0"/>
              <w:keepLines w:val="0"/>
              <w:pageBreakBefore w:val="0"/>
              <w:numPr>
                <w:ilvl w:val="0"/>
                <w:numId w:val="56"/>
              </w:numPr>
              <w:kinsoku/>
              <w:wordWrap/>
              <w:overflowPunct/>
              <w:topLinePunct w:val="0"/>
              <w:autoSpaceDE/>
              <w:autoSpaceDN/>
              <w:bidi w:val="0"/>
              <w:adjustRightInd/>
              <w:snapToGrid/>
              <w:spacing w:line="576" w:lineRule="exact"/>
              <w:ind w:left="0"/>
              <w:jc w:val="center"/>
              <w:textAlignment w:val="auto"/>
              <w:rPr>
                <w:rFonts w:ascii="仿宋" w:eastAsia="仿宋" w:hAnsi="仿宋" w:cs="仿宋" w:hint="eastAsia"/>
                <w:color w:val="auto"/>
                <w:kern w:val="0"/>
                <w:sz w:val="24"/>
                <w:szCs w:val="24"/>
                <w:highlight w:val="none"/>
              </w:rPr>
            </w:pPr>
          </w:p>
        </w:tc>
        <w:tc>
          <w:tcPr>
            <w:tcW w:w="780" w:type="dxa"/>
            <w:vAlign w:val="center"/>
          </w:tcPr>
          <w:p>
            <w:pPr>
              <w:keepNext w:val="0"/>
              <w:keepLines w:val="0"/>
              <w:pageBreakBefore w:val="0"/>
              <w:kinsoku/>
              <w:wordWrap/>
              <w:overflowPunct/>
              <w:topLinePunct w:val="0"/>
              <w:autoSpaceDE/>
              <w:autoSpaceDN/>
              <w:bidi w:val="0"/>
              <w:adjustRightInd/>
              <w:snapToGrid/>
              <w:spacing w:line="576" w:lineRule="exact"/>
              <w:ind w:left="0"/>
              <w:jc w:val="center"/>
              <w:textAlignment w:val="auto"/>
              <w:rPr>
                <w:rFonts w:ascii="仿宋" w:eastAsia="仿宋" w:hAnsi="仿宋" w:cs="仿宋" w:hint="eastAsia"/>
                <w:color w:val="auto"/>
                <w:kern w:val="0"/>
                <w:sz w:val="24"/>
                <w:szCs w:val="24"/>
                <w:highlight w:val="none"/>
              </w:rPr>
            </w:pPr>
            <w:r>
              <w:rPr>
                <w:rFonts w:ascii="仿宋" w:eastAsia="仿宋" w:hAnsi="仿宋" w:cs="仿宋" w:hint="eastAsia"/>
                <w:color w:val="auto"/>
                <w:kern w:val="0"/>
                <w:sz w:val="24"/>
                <w:szCs w:val="24"/>
                <w:highlight w:val="none"/>
              </w:rPr>
              <w:t xml:space="preserve">多巴镇</w:t>
            </w:r>
          </w:p>
        </w:tc>
        <w:tc>
          <w:tcPr>
            <w:tcW w:w="1599" w:type="dxa"/>
            <w:vAlign w:val="center"/>
          </w:tcPr>
          <w:p>
            <w:pPr>
              <w:keepNext w:val="0"/>
              <w:keepLines w:val="0"/>
              <w:pageBreakBefore w:val="0"/>
              <w:kinsoku/>
              <w:wordWrap/>
              <w:overflowPunct/>
              <w:topLinePunct w:val="0"/>
              <w:autoSpaceDE/>
              <w:autoSpaceDN/>
              <w:bidi w:val="0"/>
              <w:adjustRightInd/>
              <w:snapToGrid/>
              <w:spacing w:line="576" w:lineRule="exact"/>
              <w:ind w:left="0"/>
              <w:jc w:val="center"/>
              <w:textAlignment w:val="auto"/>
              <w:rPr>
                <w:rFonts w:ascii="仿宋" w:eastAsia="仿宋" w:hAnsi="仿宋" w:cs="仿宋" w:hint="eastAsia"/>
                <w:color w:val="auto"/>
                <w:kern w:val="0"/>
                <w:sz w:val="24"/>
                <w:szCs w:val="24"/>
                <w:highlight w:val="none"/>
              </w:rPr>
            </w:pPr>
            <w:r>
              <w:rPr>
                <w:rFonts w:ascii="仿宋" w:eastAsia="仿宋" w:hAnsi="仿宋" w:cs="仿宋" w:hint="eastAsia"/>
                <w:color w:val="auto"/>
                <w:kern w:val="0"/>
                <w:sz w:val="24"/>
                <w:szCs w:val="24"/>
                <w:highlight w:val="none"/>
              </w:rPr>
              <w:t xml:space="preserve">中国石油青海销售分公司多巴油库</w:t>
            </w:r>
          </w:p>
        </w:tc>
        <w:tc>
          <w:tcPr>
            <w:tcW w:w="1134" w:type="dxa"/>
            <w:vAlign w:val="center"/>
          </w:tcPr>
          <w:p>
            <w:pPr>
              <w:keepNext w:val="0"/>
              <w:keepLines w:val="0"/>
              <w:pageBreakBefore w:val="0"/>
              <w:kinsoku/>
              <w:wordWrap/>
              <w:overflowPunct/>
              <w:topLinePunct w:val="0"/>
              <w:autoSpaceDE/>
              <w:autoSpaceDN/>
              <w:bidi w:val="0"/>
              <w:adjustRightInd/>
              <w:snapToGrid/>
              <w:spacing w:line="576" w:lineRule="exact"/>
              <w:ind w:left="0"/>
              <w:jc w:val="center"/>
              <w:textAlignment w:val="auto"/>
              <w:rPr>
                <w:rFonts w:ascii="仿宋" w:eastAsia="仿宋" w:hAnsi="仿宋" w:cs="仿宋" w:hint="eastAsia"/>
                <w:color w:val="auto"/>
                <w:kern w:val="0"/>
                <w:sz w:val="24"/>
                <w:szCs w:val="24"/>
                <w:highlight w:val="none"/>
              </w:rPr>
            </w:pPr>
            <w:r>
              <w:rPr>
                <w:rFonts w:ascii="仿宋" w:eastAsia="仿宋" w:hAnsi="仿宋" w:cs="仿宋" w:hint="eastAsia"/>
                <w:color w:val="auto"/>
                <w:kern w:val="0"/>
                <w:sz w:val="24"/>
                <w:szCs w:val="24"/>
                <w:highlight w:val="none"/>
              </w:rPr>
              <w:t xml:space="preserve">储油区</w:t>
            </w:r>
          </w:p>
        </w:tc>
        <w:tc>
          <w:tcPr>
            <w:tcW w:w="4122" w:type="dxa"/>
            <w:vAlign w:val="center"/>
          </w:tcPr>
          <w:p>
            <w:pPr>
              <w:keepNext w:val="0"/>
              <w:keepLines w:val="0"/>
              <w:pageBreakBefore w:val="0"/>
              <w:kinsoku/>
              <w:wordWrap/>
              <w:overflowPunct/>
              <w:topLinePunct w:val="0"/>
              <w:autoSpaceDE/>
              <w:autoSpaceDN/>
              <w:bidi w:val="0"/>
              <w:adjustRightInd/>
              <w:snapToGrid/>
              <w:spacing w:line="576" w:lineRule="exact"/>
              <w:ind w:left="0"/>
              <w:jc w:val="left"/>
              <w:textAlignment w:val="auto"/>
              <w:rPr>
                <w:rFonts w:ascii="仿宋" w:eastAsia="仿宋" w:hAnsi="仿宋" w:cs="仿宋" w:hint="eastAsia"/>
                <w:color w:val="auto"/>
                <w:kern w:val="0"/>
                <w:sz w:val="24"/>
                <w:szCs w:val="24"/>
                <w:highlight w:val="none"/>
              </w:rPr>
            </w:pPr>
            <w:r>
              <w:rPr>
                <w:rFonts w:ascii="仿宋" w:eastAsia="仿宋" w:hAnsi="仿宋" w:cs="仿宋" w:hint="eastAsia"/>
                <w:color w:val="auto"/>
                <w:kern w:val="0"/>
                <w:sz w:val="24"/>
                <w:szCs w:val="24"/>
                <w:highlight w:val="none"/>
              </w:rPr>
              <w:t xml:space="preserve">5000m³汽油储罐3个；3000m³汽油储罐2个；约13900t。</w:t>
            </w:r>
          </w:p>
          <w:p>
            <w:pPr>
              <w:keepNext w:val="0"/>
              <w:keepLines w:val="0"/>
              <w:pageBreakBefore w:val="0"/>
              <w:kinsoku/>
              <w:wordWrap/>
              <w:overflowPunct/>
              <w:topLinePunct w:val="0"/>
              <w:autoSpaceDE/>
              <w:autoSpaceDN/>
              <w:bidi w:val="0"/>
              <w:adjustRightInd/>
              <w:snapToGrid/>
              <w:spacing w:line="576" w:lineRule="exact"/>
              <w:ind w:left="0"/>
              <w:jc w:val="left"/>
              <w:textAlignment w:val="auto"/>
              <w:rPr>
                <w:rFonts w:ascii="仿宋" w:eastAsia="仿宋" w:hAnsi="仿宋" w:cs="仿宋" w:hint="eastAsia"/>
                <w:color w:val="auto"/>
                <w:kern w:val="0"/>
                <w:sz w:val="24"/>
                <w:szCs w:val="24"/>
                <w:highlight w:val="none"/>
              </w:rPr>
            </w:pPr>
            <w:r>
              <w:rPr>
                <w:rFonts w:ascii="仿宋" w:eastAsia="仿宋" w:hAnsi="仿宋" w:cs="仿宋" w:hint="eastAsia"/>
                <w:color w:val="auto"/>
                <w:kern w:val="0"/>
                <w:sz w:val="24"/>
                <w:szCs w:val="24"/>
                <w:highlight w:val="none"/>
              </w:rPr>
              <w:t xml:space="preserve">5000m³柴油储罐3个；3000m³柴油储罐6个；500m³柴油储罐1个；约25000t。</w:t>
            </w:r>
          </w:p>
        </w:tc>
        <w:tc>
          <w:tcPr>
            <w:tcW w:w="600" w:type="dxa"/>
            <w:vAlign w:val="center"/>
          </w:tcPr>
          <w:p>
            <w:pPr>
              <w:keepNext w:val="0"/>
              <w:keepLines w:val="0"/>
              <w:pageBreakBefore w:val="0"/>
              <w:kinsoku/>
              <w:wordWrap/>
              <w:overflowPunct/>
              <w:topLinePunct w:val="0"/>
              <w:autoSpaceDE/>
              <w:autoSpaceDN/>
              <w:bidi w:val="0"/>
              <w:adjustRightInd/>
              <w:snapToGrid/>
              <w:spacing w:line="576" w:lineRule="exact"/>
              <w:ind w:left="0"/>
              <w:jc w:val="center"/>
              <w:textAlignment w:val="auto"/>
              <w:rPr>
                <w:rFonts w:ascii="仿宋" w:eastAsia="仿宋" w:hAnsi="仿宋" w:cs="仿宋" w:hint="eastAsia"/>
                <w:color w:val="auto"/>
                <w:kern w:val="0"/>
                <w:sz w:val="24"/>
                <w:szCs w:val="24"/>
                <w:highlight w:val="none"/>
              </w:rPr>
            </w:pPr>
            <w:r>
              <w:rPr>
                <w:rFonts w:ascii="仿宋" w:eastAsia="仿宋" w:hAnsi="仿宋" w:cs="仿宋" w:hint="eastAsia"/>
                <w:color w:val="auto"/>
                <w:kern w:val="0"/>
                <w:sz w:val="24"/>
                <w:szCs w:val="24"/>
                <w:highlight w:val="none"/>
              </w:rPr>
              <w:t xml:space="preserve">一级</w:t>
            </w:r>
          </w:p>
        </w:tc>
      </w:tr>
    </w:tbl>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rPr>
      </w:pPr>
      <w:bookmarkStart w:id="31" w:name="_Toc6589"/>
      <w:bookmarkStart w:id="32" w:name="_Toc11361"/>
      <w:bookmarkStart w:id="33" w:name="_Toc20166"/>
      <w:r>
        <w:rPr>
          <w:rFonts w:ascii="楷体" w:eastAsia="楷体" w:hAnsi="楷体" w:cs="楷体" w:hint="eastAsia"/>
          <w:b/>
          <w:color w:val="auto"/>
          <w:kern w:val="0"/>
          <w:sz w:val="32"/>
          <w:szCs w:val="32"/>
          <w:highlight w:val="none"/>
        </w:rPr>
        <w:t xml:space="preserve">2.2主要危险化学品生产安全事故类型</w:t>
      </w:r>
      <w:bookmarkEnd w:id="31"/>
      <w:bookmarkEnd w:id="32"/>
      <w:bookmarkEnd w:id="33"/>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危险化学品生产安全事故主要有泄漏、火灾（固体火灾、液体火灾、气体火灾）、爆炸、中毒、窒息、灼烫和其他。危险化学品生产安全事故发生的主要原因一般分为操作失误和设备缺陷。</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p>
    <w:p>
      <w:pPr>
        <w:widowControl/>
        <w:shd w:val="clear" w:color="auto" w:fill="FFFFFF"/>
        <w:spacing w:line="576" w:lineRule="exact"/>
        <w:jc w:val="center"/>
        <w:outlineLvl w:val="0"/>
        <w:rPr>
          <w:rFonts w:ascii="黑体" w:eastAsia="黑体" w:hAnsi="黑体" w:cs="宋体" w:hint="eastAsia"/>
          <w:color w:val="auto"/>
          <w:kern w:val="0"/>
          <w:sz w:val="32"/>
          <w:szCs w:val="32"/>
          <w:highlight w:val="none"/>
        </w:rPr>
      </w:pPr>
      <w:bookmarkStart w:id="34" w:name="_Toc10545"/>
      <w:bookmarkStart w:id="35" w:name="_Toc2590"/>
      <w:bookmarkStart w:id="36" w:name="_Toc29032"/>
      <w:bookmarkStart w:id="37" w:name="_Toc2612"/>
      <w:bookmarkStart w:id="38" w:name="_Toc22398_WPSOffice_Level1"/>
      <w:r>
        <w:rPr>
          <w:rFonts w:ascii="黑体" w:eastAsia="黑体" w:hAnsi="黑体" w:cs="宋体" w:hint="eastAsia"/>
          <w:color w:val="auto"/>
          <w:kern w:val="0"/>
          <w:sz w:val="32"/>
          <w:szCs w:val="32"/>
          <w:highlight w:val="none"/>
        </w:rPr>
        <w:t xml:space="preserve">3.</w:t>
      </w:r>
      <w:r>
        <w:rPr>
          <w:rFonts w:ascii="黑体" w:eastAsia="黑体" w:hAnsi="黑体" w:cs="宋体" w:hint="eastAsia"/>
          <w:color w:val="auto"/>
          <w:kern w:val="0"/>
          <w:sz w:val="32"/>
          <w:szCs w:val="32"/>
          <w:highlight w:val="none"/>
          <w:lang w:val="en-US" w:eastAsia="zh-CN"/>
        </w:rPr>
        <w:t xml:space="preserve">应急组织机构</w:t>
      </w:r>
      <w:r>
        <w:rPr>
          <w:rFonts w:ascii="黑体" w:eastAsia="黑体" w:hAnsi="黑体" w:cs="宋体" w:hint="eastAsia"/>
          <w:color w:val="auto"/>
          <w:kern w:val="0"/>
          <w:sz w:val="32"/>
          <w:szCs w:val="32"/>
          <w:highlight w:val="none"/>
        </w:rPr>
        <w:t xml:space="preserve">与职责</w:t>
      </w:r>
      <w:bookmarkEnd w:id="34"/>
      <w:bookmarkEnd w:id="35"/>
      <w:bookmarkEnd w:id="36"/>
      <w:bookmarkEnd w:id="37"/>
      <w:bookmarkEnd w:id="38"/>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bookmarkStart w:id="39" w:name="_Toc14894"/>
      <w:bookmarkStart w:id="40" w:name="_Toc19856_WPSOffice_Level2"/>
      <w:r>
        <w:rPr>
          <w:rFonts w:ascii="仿宋" w:eastAsia="仿宋" w:hAnsi="仿宋" w:cs="仿宋" w:hint="eastAsia"/>
          <w:color w:val="auto"/>
          <w:kern w:val="0"/>
          <w:sz w:val="32"/>
          <w:szCs w:val="32"/>
          <w:highlight w:val="none"/>
        </w:rPr>
        <w:t xml:space="preserve">湟中县危险化学品生产安全事故应急救援组织机构包括：县危险化学品生产安全事故应急救援领导小组、县危险化学品生产安全事故应急救援领导小组办公室、危险化学品生产安全事故应急处置现场指挥部、县直属有关部门、事发地人民政府、工作组、应急救援队伍、应急救援专家组和事故发生单位等。</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rPr>
      </w:pPr>
      <w:bookmarkStart w:id="41" w:name="_Toc16121"/>
      <w:bookmarkStart w:id="42" w:name="_Toc7005"/>
      <w:bookmarkStart w:id="43" w:name="_Toc23213"/>
      <w:r>
        <w:rPr>
          <w:rFonts w:ascii="楷体" w:eastAsia="楷体" w:hAnsi="楷体" w:cs="楷体" w:hint="eastAsia"/>
          <w:b/>
          <w:color w:val="auto"/>
          <w:kern w:val="0"/>
          <w:sz w:val="32"/>
          <w:szCs w:val="32"/>
          <w:highlight w:val="none"/>
        </w:rPr>
        <w:t xml:space="preserve">3.1 </w:t>
      </w:r>
      <w:bookmarkEnd w:id="39"/>
      <w:bookmarkEnd w:id="40"/>
      <w:bookmarkEnd w:id="41"/>
      <w:bookmarkEnd w:id="42"/>
      <w:r>
        <w:rPr>
          <w:rFonts w:ascii="仿宋" w:eastAsia="仿宋" w:hAnsi="仿宋" w:cs="仿宋" w:hint="eastAsia"/>
          <w:b/>
          <w:bCs/>
          <w:color w:val="auto"/>
          <w:kern w:val="0"/>
          <w:sz w:val="32"/>
          <w:szCs w:val="32"/>
          <w:highlight w:val="none"/>
        </w:rPr>
        <w:t xml:space="preserve">县危化品应急</w:t>
      </w:r>
      <w:r>
        <w:rPr>
          <w:rFonts w:ascii="仿宋" w:eastAsia="仿宋" w:hAnsi="仿宋" w:cs="仿宋" w:hint="eastAsia"/>
          <w:b/>
          <w:bCs/>
          <w:color w:val="auto"/>
          <w:kern w:val="0"/>
          <w:sz w:val="32"/>
          <w:szCs w:val="32"/>
          <w:highlight w:val="none"/>
          <w:lang w:val="en-US" w:eastAsia="zh-CN"/>
        </w:rPr>
        <w:t xml:space="preserve">指挥部</w:t>
      </w:r>
      <w:bookmarkEnd w:id="43"/>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由县人民政府成立湟中县危险化学品生产安全事故应急</w:t>
      </w:r>
      <w:r>
        <w:rPr>
          <w:rFonts w:ascii="仿宋" w:eastAsia="仿宋" w:hAnsi="仿宋" w:cs="仿宋" w:hint="eastAsia"/>
          <w:color w:val="auto"/>
          <w:kern w:val="0"/>
          <w:sz w:val="32"/>
          <w:szCs w:val="32"/>
          <w:highlight w:val="none"/>
          <w:lang w:val="en-US" w:eastAsia="zh-CN"/>
        </w:rPr>
        <w:t xml:space="preserve">指挥部</w:t>
      </w:r>
      <w:r>
        <w:rPr>
          <w:rFonts w:ascii="仿宋" w:eastAsia="仿宋" w:hAnsi="仿宋" w:cs="仿宋" w:hint="eastAsia"/>
          <w:color w:val="auto"/>
          <w:kern w:val="0"/>
          <w:sz w:val="32"/>
          <w:szCs w:val="32"/>
          <w:highlight w:val="none"/>
        </w:rPr>
        <w:t xml:space="preserve">（以下简称</w:t>
      </w:r>
      <w:r>
        <w:rPr>
          <w:rFonts w:ascii="仿宋" w:eastAsia="仿宋" w:hAnsi="仿宋" w:cs="仿宋" w:hint="eastAsia"/>
          <w:b/>
          <w:bCs/>
          <w:color w:val="auto"/>
          <w:kern w:val="0"/>
          <w:sz w:val="32"/>
          <w:szCs w:val="32"/>
          <w:highlight w:val="none"/>
        </w:rPr>
        <w:t xml:space="preserve">“县危化品应急</w:t>
      </w:r>
      <w:r>
        <w:rPr>
          <w:rFonts w:ascii="仿宋" w:eastAsia="仿宋" w:hAnsi="仿宋" w:cs="仿宋" w:hint="eastAsia"/>
          <w:b/>
          <w:bCs/>
          <w:color w:val="auto"/>
          <w:kern w:val="0"/>
          <w:sz w:val="32"/>
          <w:szCs w:val="32"/>
          <w:highlight w:val="none"/>
          <w:lang w:val="en-US" w:eastAsia="zh-CN"/>
        </w:rPr>
        <w:t xml:space="preserve">指挥部</w:t>
      </w:r>
      <w:r>
        <w:rPr>
          <w:rFonts w:ascii="仿宋" w:eastAsia="仿宋" w:hAnsi="仿宋" w:cs="仿宋" w:hint="eastAsia"/>
          <w:b/>
          <w:bCs/>
          <w:color w:val="auto"/>
          <w:kern w:val="0"/>
          <w:sz w:val="32"/>
          <w:szCs w:val="32"/>
          <w:highlight w:val="none"/>
        </w:rPr>
        <w:t xml:space="preserve">”</w:t>
      </w:r>
      <w:r>
        <w:rPr>
          <w:rFonts w:ascii="仿宋" w:eastAsia="仿宋" w:hAnsi="仿宋" w:cs="仿宋" w:hint="eastAsia"/>
          <w:color w:val="auto"/>
          <w:kern w:val="0"/>
          <w:sz w:val="32"/>
          <w:szCs w:val="32"/>
          <w:highlight w:val="none"/>
        </w:rPr>
        <w:t xml:space="preserve">），由危险化学品安全生产</w:t>
      </w:r>
      <w:r>
        <w:rPr>
          <w:rFonts w:ascii="仿宋" w:eastAsia="仿宋" w:hAnsi="仿宋" w:cs="仿宋" w:hint="eastAsia"/>
          <w:color w:val="auto"/>
          <w:kern w:val="0"/>
          <w:sz w:val="32"/>
          <w:szCs w:val="32"/>
          <w:highlight w:val="none"/>
          <w:lang w:val="en-US" w:eastAsia="zh-CN"/>
        </w:rPr>
        <w:t xml:space="preserve">分</w:t>
      </w:r>
      <w:r>
        <w:rPr>
          <w:rFonts w:ascii="仿宋" w:eastAsia="仿宋" w:hAnsi="仿宋" w:cs="仿宋" w:hint="eastAsia"/>
          <w:color w:val="auto"/>
          <w:kern w:val="0"/>
          <w:sz w:val="32"/>
          <w:szCs w:val="32"/>
          <w:highlight w:val="none"/>
        </w:rPr>
        <w:t xml:space="preserve">管副县长任</w:t>
      </w:r>
      <w:r>
        <w:rPr>
          <w:rFonts w:ascii="仿宋" w:eastAsia="仿宋" w:hAnsi="仿宋" w:cs="仿宋" w:hint="eastAsia"/>
          <w:color w:val="auto"/>
          <w:kern w:val="0"/>
          <w:sz w:val="32"/>
          <w:szCs w:val="32"/>
          <w:highlight w:val="none"/>
          <w:lang w:val="en-US" w:eastAsia="zh-CN"/>
        </w:rPr>
        <w:t xml:space="preserve">总指挥</w:t>
      </w:r>
      <w:r>
        <w:rPr>
          <w:rFonts w:ascii="仿宋" w:eastAsia="仿宋" w:hAnsi="仿宋" w:cs="仿宋" w:hint="eastAsia"/>
          <w:color w:val="auto"/>
          <w:kern w:val="0"/>
          <w:sz w:val="32"/>
          <w:szCs w:val="32"/>
          <w:highlight w:val="none"/>
        </w:rPr>
        <w:t xml:space="preserve">，</w:t>
      </w:r>
      <w:r>
        <w:rPr>
          <w:rFonts w:ascii="仿宋" w:eastAsia="仿宋" w:hAnsi="仿宋" w:cs="仿宋" w:hint="eastAsia"/>
          <w:color w:val="auto"/>
          <w:kern w:val="0"/>
          <w:sz w:val="32"/>
          <w:szCs w:val="32"/>
          <w:highlight w:val="none"/>
          <w:lang w:val="en-US" w:eastAsia="zh-CN"/>
        </w:rPr>
        <w:t xml:space="preserve">副总指挥</w:t>
      </w:r>
      <w:r>
        <w:rPr>
          <w:rFonts w:ascii="仿宋" w:eastAsia="仿宋" w:hAnsi="仿宋" w:cs="仿宋" w:hint="eastAsia"/>
          <w:color w:val="auto"/>
          <w:kern w:val="0"/>
          <w:sz w:val="32"/>
          <w:szCs w:val="32"/>
          <w:highlight w:val="none"/>
        </w:rPr>
        <w:t xml:space="preserve">由县应急管理局长担任，县政府办公室、县公安局、县交通运输局、县生态环境局、县消防救援大队等部门负责人为成员。负责湟中县危险化学品生产安全事故应急救援工作的组织领导。</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lang w:val="en-US" w:eastAsia="zh-CN"/>
        </w:rPr>
        <w:t xml:space="preserve">总 指 挥</w:t>
      </w:r>
      <w:r>
        <w:rPr>
          <w:rFonts w:ascii="仿宋" w:eastAsia="仿宋" w:hAnsi="仿宋" w:cs="仿宋" w:hint="eastAsia"/>
          <w:color w:val="auto"/>
          <w:kern w:val="0"/>
          <w:sz w:val="32"/>
          <w:szCs w:val="32"/>
          <w:highlight w:val="none"/>
        </w:rPr>
        <w:t xml:space="preserve">：分管副县长</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副</w:t>
      </w:r>
      <w:r>
        <w:rPr>
          <w:rFonts w:ascii="仿宋" w:eastAsia="仿宋" w:hAnsi="仿宋" w:cs="仿宋" w:hint="eastAsia"/>
          <w:color w:val="auto"/>
          <w:kern w:val="0"/>
          <w:sz w:val="32"/>
          <w:szCs w:val="32"/>
          <w:highlight w:val="none"/>
          <w:lang w:val="en-US" w:eastAsia="zh-CN"/>
        </w:rPr>
        <w:t xml:space="preserve">总指挥</w:t>
      </w:r>
      <w:r>
        <w:rPr>
          <w:rFonts w:ascii="仿宋" w:eastAsia="仿宋" w:hAnsi="仿宋" w:cs="仿宋" w:hint="eastAsia"/>
          <w:color w:val="auto"/>
          <w:kern w:val="0"/>
          <w:sz w:val="32"/>
          <w:szCs w:val="32"/>
          <w:highlight w:val="none"/>
        </w:rPr>
        <w:t xml:space="preserve">：县应急管理局长</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成员单位：县纪委监委、县委宣传部、县人民武装部、县公安局</w:t>
      </w:r>
      <w:r>
        <w:rPr>
          <w:rFonts w:ascii="仿宋" w:eastAsia="仿宋" w:hAnsi="仿宋" w:cs="仿宋" w:hint="eastAsia"/>
          <w:color w:val="auto"/>
          <w:kern w:val="0"/>
          <w:sz w:val="32"/>
          <w:szCs w:val="32"/>
          <w:highlight w:val="none"/>
          <w:lang w:val="en-US" w:eastAsia="zh-CN"/>
        </w:rPr>
        <w:t xml:space="preserve">分管负责人，</w:t>
      </w:r>
      <w:r>
        <w:rPr>
          <w:rFonts w:ascii="仿宋" w:eastAsia="仿宋" w:hAnsi="仿宋" w:cs="仿宋" w:hint="eastAsia"/>
          <w:color w:val="auto"/>
          <w:kern w:val="0"/>
          <w:sz w:val="32"/>
          <w:szCs w:val="32"/>
          <w:highlight w:val="none"/>
        </w:rPr>
        <w:t xml:space="preserve">县政府办公室、县生态环境局、县气象局、</w:t>
      </w:r>
      <w:r>
        <w:rPr>
          <w:rFonts w:ascii="仿宋" w:eastAsia="仿宋" w:hAnsi="仿宋" w:cs="仿宋" w:hint="eastAsia"/>
          <w:bCs/>
          <w:color w:val="auto"/>
          <w:sz w:val="32"/>
          <w:szCs w:val="32"/>
          <w:highlight w:val="none"/>
        </w:rPr>
        <w:t xml:space="preserve">县自然资源局、</w:t>
      </w:r>
      <w:r>
        <w:rPr>
          <w:rFonts w:ascii="仿宋" w:eastAsia="仿宋" w:hAnsi="仿宋" w:cs="仿宋" w:hint="eastAsia"/>
          <w:color w:val="auto"/>
          <w:kern w:val="0"/>
          <w:sz w:val="32"/>
          <w:szCs w:val="32"/>
          <w:highlight w:val="none"/>
        </w:rPr>
        <w:t xml:space="preserve">县卫生健康局、县市场监督管理局、县民政局、县财政局、县发展和改革局、县人力资源和社会保障局、</w:t>
      </w:r>
      <w:r>
        <w:rPr>
          <w:rFonts w:ascii="仿宋" w:eastAsia="仿宋" w:hAnsi="仿宋" w:cs="仿宋" w:hint="eastAsia"/>
          <w:bCs/>
          <w:color w:val="auto"/>
          <w:sz w:val="32"/>
          <w:szCs w:val="32"/>
          <w:highlight w:val="none"/>
        </w:rPr>
        <w:t xml:space="preserve">县住房和城乡建设局</w:t>
      </w:r>
      <w:r>
        <w:rPr>
          <w:rFonts w:ascii="仿宋" w:eastAsia="仿宋" w:hAnsi="仿宋" w:cs="仿宋" w:hint="eastAsia"/>
          <w:color w:val="auto"/>
          <w:kern w:val="0"/>
          <w:sz w:val="32"/>
          <w:szCs w:val="32"/>
          <w:highlight w:val="none"/>
        </w:rPr>
        <w:t xml:space="preserve">、县交通运输局、县水利局、县农业农村局、县教育局、县消防救援大队、县总工会、县供电公司、县电信公司、县移动公司、县联通公司、各乡镇人民政府（街道办事处）等部门主要负责人。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lang w:val="en-US" w:eastAsia="zh-CN"/>
        </w:rPr>
        <w:t xml:space="preserve">应急指挥部</w:t>
      </w:r>
      <w:r>
        <w:rPr>
          <w:rFonts w:ascii="仿宋" w:eastAsia="仿宋" w:hAnsi="仿宋" w:cs="仿宋" w:hint="eastAsia"/>
          <w:color w:val="auto"/>
          <w:kern w:val="0"/>
          <w:sz w:val="32"/>
          <w:szCs w:val="32"/>
          <w:highlight w:val="none"/>
        </w:rPr>
        <w:t xml:space="preserve">下设县危险化学品生产安全事故应急</w:t>
      </w:r>
      <w:r>
        <w:rPr>
          <w:rFonts w:ascii="仿宋" w:eastAsia="仿宋" w:hAnsi="仿宋" w:cs="仿宋" w:hint="eastAsia"/>
          <w:color w:val="auto"/>
          <w:kern w:val="0"/>
          <w:sz w:val="32"/>
          <w:szCs w:val="32"/>
          <w:highlight w:val="none"/>
          <w:lang w:val="en-US" w:eastAsia="zh-CN"/>
        </w:rPr>
        <w:t xml:space="preserve">指挥部</w:t>
      </w:r>
      <w:r>
        <w:rPr>
          <w:rFonts w:ascii="仿宋" w:eastAsia="仿宋" w:hAnsi="仿宋" w:cs="仿宋" w:hint="eastAsia"/>
          <w:color w:val="auto"/>
          <w:kern w:val="0"/>
          <w:sz w:val="32"/>
          <w:szCs w:val="32"/>
          <w:highlight w:val="none"/>
        </w:rPr>
        <w:t xml:space="preserve">办公室（以下简称“危化品应急</w:t>
      </w:r>
      <w:r>
        <w:rPr>
          <w:rFonts w:ascii="仿宋" w:eastAsia="仿宋" w:hAnsi="仿宋" w:cs="仿宋" w:hint="eastAsia"/>
          <w:color w:val="auto"/>
          <w:kern w:val="0"/>
          <w:sz w:val="32"/>
          <w:szCs w:val="32"/>
          <w:highlight w:val="none"/>
          <w:lang w:val="en-US" w:eastAsia="zh-CN"/>
        </w:rPr>
        <w:t xml:space="preserve">指挥部</w:t>
      </w:r>
      <w:r>
        <w:rPr>
          <w:rFonts w:ascii="仿宋" w:eastAsia="仿宋" w:hAnsi="仿宋" w:cs="仿宋" w:hint="eastAsia"/>
          <w:color w:val="auto"/>
          <w:kern w:val="0"/>
          <w:sz w:val="32"/>
          <w:szCs w:val="32"/>
          <w:highlight w:val="none"/>
        </w:rPr>
        <w:t xml:space="preserve">办公室”），由县应急管理局分管副局长兼办公室主任，办公地点设县应急管理局，负责县危险化学品生产安全事故应急救援领导小组日常工作。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lang w:eastAsia="zh-CN"/>
        </w:rPr>
        <w:t xml:space="preserve">危化品应急指挥部</w:t>
      </w:r>
      <w:r>
        <w:rPr>
          <w:rFonts w:ascii="仿宋" w:eastAsia="仿宋" w:hAnsi="仿宋" w:cs="仿宋" w:hint="eastAsia"/>
          <w:color w:val="auto"/>
          <w:kern w:val="0"/>
          <w:sz w:val="32"/>
          <w:szCs w:val="32"/>
          <w:highlight w:val="none"/>
        </w:rPr>
        <w:t xml:space="preserve">在县政府的统一领导下，负责建立健全应急指挥系统、应急联动机制、应急队伍、物资保障及调动制度；加强现代化预警系统和信息分析系统的建设，提高危险化学品生产安全事故的监测预警能力；决定本预案的启动。</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lang w:eastAsia="zh-CN"/>
        </w:rPr>
        <w:t xml:space="preserve">危化品应急指挥部</w:t>
      </w:r>
      <w:r>
        <w:rPr>
          <w:rFonts w:ascii="仿宋" w:eastAsia="仿宋" w:hAnsi="仿宋" w:cs="仿宋" w:hint="eastAsia"/>
          <w:color w:val="auto"/>
          <w:kern w:val="0"/>
          <w:sz w:val="32"/>
          <w:szCs w:val="32"/>
          <w:highlight w:val="none"/>
        </w:rPr>
        <w:t xml:space="preserve">办公室是</w:t>
      </w:r>
      <w:r>
        <w:rPr>
          <w:rFonts w:ascii="仿宋" w:eastAsia="仿宋" w:hAnsi="仿宋" w:cs="仿宋" w:hint="eastAsia"/>
          <w:color w:val="auto"/>
          <w:kern w:val="0"/>
          <w:sz w:val="32"/>
          <w:szCs w:val="32"/>
          <w:highlight w:val="none"/>
          <w:lang w:eastAsia="zh-CN"/>
        </w:rPr>
        <w:t xml:space="preserve">危化品应急指挥部</w:t>
      </w:r>
      <w:r>
        <w:rPr>
          <w:rFonts w:ascii="仿宋" w:eastAsia="仿宋" w:hAnsi="仿宋" w:cs="仿宋" w:hint="eastAsia"/>
          <w:color w:val="auto"/>
          <w:kern w:val="0"/>
          <w:sz w:val="32"/>
          <w:szCs w:val="32"/>
          <w:highlight w:val="none"/>
        </w:rPr>
        <w:t xml:space="preserve">的日常工作机构，负责湟中县危险化学品生产安全事故应急预案的制定、修订；组织危险化学品生产安全事故应急预案的演练工作；检查督促政府部门制定事故应急预案和定期演练做好事故应急预案的相关准备工作；接到一般及以上事故或险情报告后，迅速报告领导小组组长，并通知有关成员单位和人员立即进入应急工作准备状态。</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rPr>
      </w:pPr>
      <w:bookmarkStart w:id="44" w:name="_Toc4610"/>
      <w:bookmarkStart w:id="45" w:name="_Toc19763"/>
      <w:bookmarkStart w:id="46" w:name="_Toc26601"/>
      <w:r>
        <w:rPr>
          <w:rFonts w:ascii="楷体" w:eastAsia="楷体" w:hAnsi="楷体" w:cs="楷体" w:hint="eastAsia"/>
          <w:b/>
          <w:color w:val="auto"/>
          <w:kern w:val="0"/>
          <w:sz w:val="32"/>
          <w:szCs w:val="32"/>
          <w:highlight w:val="none"/>
        </w:rPr>
        <w:t xml:space="preserve">3.2现场指挥部</w:t>
      </w:r>
      <w:bookmarkEnd w:id="44"/>
      <w:bookmarkEnd w:id="45"/>
      <w:bookmarkEnd w:id="46"/>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现场指挥部是发生危险化学品生产安全事故后成立的临时机构，总指挥由县</w:t>
      </w:r>
      <w:r>
        <w:rPr>
          <w:rFonts w:ascii="仿宋" w:eastAsia="仿宋" w:hAnsi="仿宋" w:cs="仿宋" w:hint="eastAsia"/>
          <w:color w:val="auto"/>
          <w:kern w:val="0"/>
          <w:sz w:val="32"/>
          <w:szCs w:val="32"/>
          <w:highlight w:val="none"/>
          <w:lang w:eastAsia="zh-CN"/>
        </w:rPr>
        <w:t xml:space="preserve">危化品应急指挥部</w:t>
      </w:r>
      <w:r>
        <w:rPr>
          <w:rFonts w:ascii="仿宋" w:eastAsia="仿宋" w:hAnsi="仿宋" w:cs="仿宋" w:hint="eastAsia"/>
          <w:color w:val="auto"/>
          <w:kern w:val="0"/>
          <w:sz w:val="32"/>
          <w:szCs w:val="32"/>
          <w:highlight w:val="none"/>
          <w:lang w:val="en-US" w:eastAsia="zh-CN"/>
        </w:rPr>
        <w:t xml:space="preserve">总指挥</w:t>
      </w:r>
      <w:r>
        <w:rPr>
          <w:rFonts w:ascii="仿宋" w:eastAsia="仿宋" w:hAnsi="仿宋" w:cs="仿宋" w:hint="eastAsia"/>
          <w:color w:val="auto"/>
          <w:kern w:val="0"/>
          <w:sz w:val="32"/>
          <w:szCs w:val="32"/>
          <w:highlight w:val="none"/>
        </w:rPr>
        <w:t xml:space="preserve">担任，或者由县政府安委会指定人员担任，县应急管理局长和事发地人民政府负责人任副总指挥，其他县政府有关部门、救援队伍负责人为指挥部成员。指挥部代表县政府履行事故应急处置职责，负责制定和组织实施事故应急处置的具体方案，指挥协调参与应急救援的队伍和人员开展应急救援行动，及时向县委、县政府和市应急管理局报告事故发展态势和救援情况。</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根据工作需要指挥部下设10各工作小组（根据工作需要可作调整）：</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val="0"/>
          <w:bCs w:val="0"/>
          <w:color w:val="auto"/>
          <w:kern w:val="0"/>
          <w:sz w:val="32"/>
          <w:szCs w:val="32"/>
          <w:highlight w:val="none"/>
        </w:rPr>
      </w:pPr>
      <w:r>
        <w:rPr>
          <w:rFonts w:ascii="仿宋" w:eastAsia="仿宋" w:hAnsi="仿宋" w:cs="仿宋" w:hint="eastAsia"/>
          <w:b w:val="0"/>
          <w:bCs w:val="0"/>
          <w:color w:val="auto"/>
          <w:kern w:val="0"/>
          <w:sz w:val="32"/>
          <w:szCs w:val="32"/>
          <w:highlight w:val="none"/>
        </w:rPr>
        <w:t xml:space="preserve">（1）综合协调组：由县政府办公室、县应急管理局和事故发生单位的行业主管部门组成，负责事故现场的综合协调工作，配合现场应急指挥部做好应急队伍、人员、装备的调度，协调各应急救援队伍相互配合做好应急处置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val="0"/>
          <w:bCs w:val="0"/>
          <w:color w:val="auto"/>
          <w:kern w:val="0"/>
          <w:sz w:val="32"/>
          <w:szCs w:val="32"/>
          <w:highlight w:val="none"/>
        </w:rPr>
      </w:pPr>
      <w:r>
        <w:rPr>
          <w:rFonts w:ascii="仿宋" w:eastAsia="仿宋" w:hAnsi="仿宋" w:cs="仿宋" w:hint="eastAsia"/>
          <w:b w:val="0"/>
          <w:bCs w:val="0"/>
          <w:color w:val="auto"/>
          <w:kern w:val="0"/>
          <w:sz w:val="32"/>
          <w:szCs w:val="32"/>
          <w:highlight w:val="none"/>
        </w:rPr>
        <w:t xml:space="preserve">（2）灾情处置组：主要由县消防救援大队、专业应急救援队伍、行业主管部门及事故发生单位的抢险力量组成，负责事故现场人员搜救、事故抢险救灾、现场洗消等工作。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val="0"/>
          <w:bCs w:val="0"/>
          <w:color w:val="auto"/>
          <w:kern w:val="0"/>
          <w:sz w:val="32"/>
          <w:szCs w:val="32"/>
          <w:highlight w:val="none"/>
        </w:rPr>
      </w:pPr>
      <w:r>
        <w:rPr>
          <w:rFonts w:ascii="仿宋" w:eastAsia="仿宋" w:hAnsi="仿宋" w:cs="仿宋" w:hint="eastAsia"/>
          <w:b w:val="0"/>
          <w:bCs w:val="0"/>
          <w:color w:val="auto"/>
          <w:kern w:val="0"/>
          <w:sz w:val="32"/>
          <w:szCs w:val="32"/>
          <w:highlight w:val="none"/>
        </w:rPr>
        <w:t xml:space="preserve">（3）警戒保卫组：主要由县公安局负责事故现场安全警戒、人员疏散、交通管制、物资转移和治安保卫等工作。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val="0"/>
          <w:bCs w:val="0"/>
          <w:color w:val="auto"/>
          <w:kern w:val="0"/>
          <w:sz w:val="32"/>
          <w:szCs w:val="32"/>
          <w:highlight w:val="none"/>
        </w:rPr>
      </w:pPr>
      <w:r>
        <w:rPr>
          <w:rFonts w:ascii="仿宋" w:eastAsia="仿宋" w:hAnsi="仿宋" w:cs="仿宋" w:hint="eastAsia"/>
          <w:b w:val="0"/>
          <w:bCs w:val="0"/>
          <w:color w:val="auto"/>
          <w:kern w:val="0"/>
          <w:sz w:val="32"/>
          <w:szCs w:val="32"/>
          <w:highlight w:val="none"/>
        </w:rPr>
        <w:t xml:space="preserve">（4）医疗救护组：由县卫生健康局负责组织医疗救护队伍实施现场救护、伤员转移护送及医院救治等工作。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val="0"/>
          <w:bCs w:val="0"/>
          <w:color w:val="auto"/>
          <w:kern w:val="0"/>
          <w:sz w:val="32"/>
          <w:szCs w:val="32"/>
          <w:highlight w:val="none"/>
        </w:rPr>
      </w:pPr>
      <w:r>
        <w:rPr>
          <w:rFonts w:ascii="仿宋" w:eastAsia="仿宋" w:hAnsi="仿宋" w:cs="仿宋" w:hint="eastAsia"/>
          <w:b w:val="0"/>
          <w:bCs w:val="0"/>
          <w:color w:val="auto"/>
          <w:kern w:val="0"/>
          <w:sz w:val="32"/>
          <w:szCs w:val="32"/>
          <w:highlight w:val="none"/>
        </w:rPr>
        <w:t xml:space="preserve">（5）环境监测组：由县生态环境局负责，主要负责对事故现场及周围环境的大气、水体、土壤实施及时现场监测，确定被污染区域范围，并进行污染状况评估，为现场应急指挥部决策提供现场资料；事故处置结束后，对事故造成的环境污染状态进行跟踪监测，制定环境修复方案并组织实施。</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val="0"/>
          <w:bCs w:val="0"/>
          <w:color w:val="auto"/>
          <w:kern w:val="0"/>
          <w:sz w:val="32"/>
          <w:szCs w:val="32"/>
          <w:highlight w:val="none"/>
        </w:rPr>
      </w:pPr>
      <w:r>
        <w:rPr>
          <w:rFonts w:ascii="仿宋" w:eastAsia="仿宋" w:hAnsi="仿宋" w:cs="仿宋" w:hint="eastAsia"/>
          <w:b w:val="0"/>
          <w:bCs w:val="0"/>
          <w:color w:val="auto"/>
          <w:kern w:val="0"/>
          <w:sz w:val="32"/>
          <w:szCs w:val="32"/>
          <w:highlight w:val="none"/>
        </w:rPr>
        <w:t xml:space="preserve">（6）应急保障组：由</w:t>
      </w:r>
      <w:r>
        <w:rPr>
          <w:rFonts w:ascii="仿宋" w:eastAsia="仿宋" w:hAnsi="仿宋" w:cs="仿宋" w:hint="eastAsia"/>
          <w:b w:val="0"/>
          <w:bCs w:val="0"/>
          <w:color w:val="auto"/>
          <w:kern w:val="0"/>
          <w:sz w:val="32"/>
          <w:szCs w:val="32"/>
          <w:highlight w:val="none"/>
          <w:lang w:val="en-US" w:eastAsia="zh-CN"/>
        </w:rPr>
        <w:t xml:space="preserve">县应急管理局、</w:t>
      </w:r>
      <w:r>
        <w:rPr>
          <w:rFonts w:ascii="仿宋" w:eastAsia="仿宋" w:hAnsi="仿宋" w:cs="仿宋" w:hint="eastAsia"/>
          <w:b w:val="0"/>
          <w:bCs w:val="0"/>
          <w:color w:val="auto"/>
          <w:kern w:val="0"/>
          <w:sz w:val="32"/>
          <w:szCs w:val="32"/>
          <w:highlight w:val="none"/>
        </w:rPr>
        <w:t xml:space="preserve">县发展和改革局、县民政局、供电公司、电信（移动、联通）公司、县水利局、县交通运输局等相关部门组成。负责应急救援物资、应急装备、应急通信、供水、供电、交通运输工具的筹集、组织、调配、运送及应急生活用品的供应等应急保障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val="0"/>
          <w:bCs w:val="0"/>
          <w:color w:val="auto"/>
          <w:kern w:val="0"/>
          <w:sz w:val="32"/>
          <w:szCs w:val="32"/>
          <w:highlight w:val="none"/>
        </w:rPr>
      </w:pPr>
      <w:r>
        <w:rPr>
          <w:rFonts w:ascii="仿宋" w:eastAsia="仿宋" w:hAnsi="仿宋" w:cs="仿宋" w:hint="eastAsia"/>
          <w:b w:val="0"/>
          <w:bCs w:val="0"/>
          <w:color w:val="auto"/>
          <w:kern w:val="0"/>
          <w:sz w:val="32"/>
          <w:szCs w:val="32"/>
          <w:highlight w:val="none"/>
        </w:rPr>
        <w:t xml:space="preserve">（7）善后处理组：由县政府办公室、行业主管部门、县人力资源和社会保障局、总工会、县民政局、当地镇政府及事故发生单位共同组成，主要负责提供避难场所，并对受到事故影响的人员进行安置、安抚等工作，维护社会安定，负责工伤、财产理赔、灾后重建及人员安置等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val="0"/>
          <w:bCs w:val="0"/>
          <w:color w:val="auto"/>
          <w:kern w:val="0"/>
          <w:sz w:val="32"/>
          <w:szCs w:val="32"/>
          <w:highlight w:val="none"/>
        </w:rPr>
      </w:pPr>
      <w:r>
        <w:rPr>
          <w:rFonts w:ascii="仿宋" w:eastAsia="仿宋" w:hAnsi="仿宋" w:cs="仿宋" w:hint="eastAsia"/>
          <w:b w:val="0"/>
          <w:bCs w:val="0"/>
          <w:color w:val="auto"/>
          <w:kern w:val="0"/>
          <w:sz w:val="32"/>
          <w:szCs w:val="32"/>
          <w:highlight w:val="none"/>
        </w:rPr>
        <w:t xml:space="preserve">（8）信息报道组：由县委宣传部负责，指导协调危险化学品生产安全事故信息发布和舆论引导、舆情监测等工作，引导媒体真实、准确报道事故信息、避免传播不实信息造成社会恐慌。</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val="0"/>
          <w:bCs w:val="0"/>
          <w:color w:val="auto"/>
          <w:kern w:val="0"/>
          <w:sz w:val="32"/>
          <w:szCs w:val="32"/>
          <w:highlight w:val="none"/>
        </w:rPr>
      </w:pPr>
      <w:r>
        <w:rPr>
          <w:rFonts w:ascii="仿宋" w:eastAsia="仿宋" w:hAnsi="仿宋" w:cs="仿宋" w:hint="eastAsia"/>
          <w:b w:val="0"/>
          <w:bCs w:val="0"/>
          <w:color w:val="auto"/>
          <w:kern w:val="0"/>
          <w:sz w:val="32"/>
          <w:szCs w:val="32"/>
          <w:highlight w:val="none"/>
        </w:rPr>
        <w:t xml:space="preserve">（9）应急专家组：由县应急管理局和事故发生单位的行业主管部门组织相关专家组成应急专家组，为现场应急指挥部制订应急抢险方案提供技术支持。</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b w:val="0"/>
          <w:bCs w:val="0"/>
          <w:color w:val="auto"/>
          <w:kern w:val="0"/>
          <w:sz w:val="32"/>
          <w:szCs w:val="32"/>
          <w:highlight w:val="none"/>
        </w:rPr>
        <w:t xml:space="preserve">（10）事故调查组：根据事故级别而定，一般危险化学品生产安全事故调查由县政府组织县应急管理局、县公安局、</w:t>
      </w:r>
      <w:r>
        <w:rPr>
          <w:rFonts w:ascii="仿宋" w:eastAsia="仿宋" w:hAnsi="仿宋" w:cs="仿宋" w:hint="eastAsia"/>
          <w:b w:val="0"/>
          <w:bCs w:val="0"/>
          <w:color w:val="auto"/>
          <w:kern w:val="0"/>
          <w:sz w:val="32"/>
          <w:szCs w:val="32"/>
          <w:highlight w:val="none"/>
          <w:lang w:eastAsia="zh-CN"/>
        </w:rPr>
        <w:t xml:space="preserve">县纪委监委</w:t>
      </w:r>
      <w:r>
        <w:rPr>
          <w:rFonts w:ascii="仿宋" w:eastAsia="仿宋" w:hAnsi="仿宋" w:cs="仿宋" w:hint="eastAsia"/>
          <w:b w:val="0"/>
          <w:bCs w:val="0"/>
          <w:color w:val="auto"/>
          <w:kern w:val="0"/>
          <w:sz w:val="32"/>
          <w:szCs w:val="32"/>
          <w:highlight w:val="none"/>
        </w:rPr>
        <w:t xml:space="preserve">、</w:t>
      </w:r>
      <w:r>
        <w:rPr>
          <w:rFonts w:ascii="仿宋" w:eastAsia="仿宋" w:hAnsi="仿宋" w:cs="仿宋" w:hint="eastAsia"/>
          <w:b w:val="0"/>
          <w:bCs w:val="0"/>
          <w:color w:val="auto"/>
          <w:kern w:val="0"/>
          <w:sz w:val="32"/>
          <w:szCs w:val="32"/>
          <w:highlight w:val="none"/>
          <w:lang w:val="en-US" w:eastAsia="zh-CN"/>
        </w:rPr>
        <w:t xml:space="preserve">县人力资源和社会保障局、</w:t>
      </w:r>
      <w:r>
        <w:rPr>
          <w:rFonts w:ascii="仿宋" w:eastAsia="仿宋" w:hAnsi="仿宋" w:cs="仿宋" w:hint="eastAsia"/>
          <w:b w:val="0"/>
          <w:bCs w:val="0"/>
          <w:color w:val="auto"/>
          <w:kern w:val="0"/>
          <w:sz w:val="32"/>
          <w:szCs w:val="32"/>
          <w:highlight w:val="none"/>
        </w:rPr>
        <w:t xml:space="preserve">县总工会等单位组成，进行事故调查等工作。较大（及以上）危险化学品生产安全事故调查由上级人民政府组织调查，县政府相关部门负责配合上级人民政府事故调查组做好事故调查。</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rPr>
      </w:pPr>
      <w:bookmarkStart w:id="47" w:name="_Toc19232"/>
      <w:bookmarkStart w:id="48" w:name="_Toc32262"/>
      <w:bookmarkStart w:id="49" w:name="_Toc14294"/>
      <w:r>
        <w:rPr>
          <w:rFonts w:ascii="楷体" w:eastAsia="楷体" w:hAnsi="楷体" w:cs="楷体" w:hint="eastAsia"/>
          <w:b/>
          <w:color w:val="auto"/>
          <w:kern w:val="0"/>
          <w:sz w:val="32"/>
          <w:szCs w:val="32"/>
          <w:highlight w:val="none"/>
        </w:rPr>
        <w:t xml:space="preserve">3.3</w:t>
      </w:r>
      <w:r>
        <w:rPr>
          <w:rFonts w:ascii="楷体" w:eastAsia="楷体" w:hAnsi="楷体" w:cs="楷体" w:hint="eastAsia"/>
          <w:b/>
          <w:color w:val="auto"/>
          <w:kern w:val="0"/>
          <w:sz w:val="32"/>
          <w:szCs w:val="32"/>
          <w:highlight w:val="none"/>
          <w:lang w:val="en-US" w:eastAsia="zh-CN"/>
        </w:rPr>
        <w:t xml:space="preserve">指挥部成员单位</w:t>
      </w:r>
      <w:r>
        <w:rPr>
          <w:rFonts w:ascii="楷体" w:eastAsia="楷体" w:hAnsi="楷体" w:cs="楷体" w:hint="eastAsia"/>
          <w:b/>
          <w:color w:val="auto"/>
          <w:kern w:val="0"/>
          <w:sz w:val="32"/>
          <w:szCs w:val="32"/>
          <w:highlight w:val="none"/>
        </w:rPr>
        <w:t xml:space="preserve">应急职责</w:t>
      </w:r>
      <w:bookmarkEnd w:id="47"/>
      <w:bookmarkEnd w:id="48"/>
      <w:bookmarkEnd w:id="49"/>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lang w:val="en-US" w:eastAsia="zh-CN"/>
        </w:rPr>
        <w:t xml:space="preserve">指挥部成员单位</w:t>
      </w:r>
      <w:r>
        <w:rPr>
          <w:rFonts w:ascii="仿宋" w:eastAsia="仿宋" w:hAnsi="仿宋" w:cs="仿宋" w:hint="eastAsia"/>
          <w:color w:val="auto"/>
          <w:kern w:val="0"/>
          <w:sz w:val="32"/>
          <w:szCs w:val="32"/>
          <w:highlight w:val="none"/>
        </w:rPr>
        <w:t xml:space="preserve">在县</w:t>
      </w:r>
      <w:r>
        <w:rPr>
          <w:rFonts w:ascii="仿宋" w:eastAsia="仿宋" w:hAnsi="仿宋" w:cs="仿宋" w:hint="eastAsia"/>
          <w:color w:val="auto"/>
          <w:kern w:val="0"/>
          <w:sz w:val="32"/>
          <w:szCs w:val="32"/>
          <w:highlight w:val="none"/>
          <w:lang w:eastAsia="zh-CN"/>
        </w:rPr>
        <w:t xml:space="preserve">危化品应急指挥部</w:t>
      </w:r>
      <w:r>
        <w:rPr>
          <w:rFonts w:ascii="仿宋" w:eastAsia="仿宋" w:hAnsi="仿宋" w:cs="仿宋" w:hint="eastAsia"/>
          <w:color w:val="auto"/>
          <w:kern w:val="0"/>
          <w:sz w:val="32"/>
          <w:szCs w:val="32"/>
          <w:highlight w:val="none"/>
        </w:rPr>
        <w:t xml:space="preserve">的统一领导下参与危险化学品生产安全事故的应急处置和较大以上危险化学品生产安全事故的前期处置工作，并且配合上级应急指挥部做好较大以上危险化学品生产安全事故的应急处置工作。</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县纪委监委：</w:t>
      </w:r>
      <w:r>
        <w:rPr>
          <w:rFonts w:ascii="仿宋" w:eastAsia="仿宋" w:hAnsi="仿宋" w:cs="仿宋" w:hint="eastAsia"/>
          <w:color w:val="auto"/>
          <w:kern w:val="0"/>
          <w:sz w:val="32"/>
          <w:szCs w:val="32"/>
          <w:highlight w:val="none"/>
        </w:rPr>
        <w:t xml:space="preserve">参与危险化学品生产安全事故调查和处理，并提出处理意见建议；对在危险化学品生产安全事故预防、应急处置工作中和生产安全监督管理中麻痹大意、玩忽职守的国家公职人员追究行政责任。</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县委宣传部：</w:t>
      </w:r>
      <w:r>
        <w:rPr>
          <w:rFonts w:ascii="仿宋" w:eastAsia="仿宋" w:hAnsi="仿宋" w:cs="仿宋" w:hint="eastAsia"/>
          <w:color w:val="auto"/>
          <w:kern w:val="0"/>
          <w:sz w:val="32"/>
          <w:szCs w:val="32"/>
          <w:highlight w:val="none"/>
        </w:rPr>
        <w:t xml:space="preserve">统一宣传报道口径，负责危险化学品生产安全事故应急救援过程中</w:t>
      </w:r>
      <w:r>
        <w:rPr>
          <w:rFonts w:ascii="仿宋" w:eastAsia="仿宋" w:hAnsi="仿宋" w:cs="仿宋" w:hint="eastAsia"/>
          <w:color w:val="auto"/>
          <w:kern w:val="0"/>
          <w:sz w:val="32"/>
          <w:szCs w:val="32"/>
          <w:highlight w:val="none"/>
          <w:lang w:val="en-US" w:eastAsia="zh-CN"/>
        </w:rPr>
        <w:t xml:space="preserve">的</w:t>
      </w:r>
      <w:r>
        <w:rPr>
          <w:rFonts w:ascii="仿宋" w:eastAsia="仿宋" w:hAnsi="仿宋" w:cs="仿宋" w:hint="eastAsia"/>
          <w:color w:val="auto"/>
          <w:kern w:val="0"/>
          <w:sz w:val="32"/>
          <w:szCs w:val="32"/>
          <w:highlight w:val="none"/>
        </w:rPr>
        <w:t xml:space="preserve">宣传报道工作</w:t>
      </w:r>
      <w:r>
        <w:rPr>
          <w:rFonts w:ascii="仿宋" w:eastAsia="仿宋" w:hAnsi="仿宋" w:cs="仿宋" w:hint="eastAsia"/>
          <w:color w:val="auto"/>
          <w:kern w:val="0"/>
          <w:sz w:val="32"/>
          <w:szCs w:val="32"/>
          <w:highlight w:val="none"/>
          <w:lang w:eastAsia="zh-CN"/>
        </w:rPr>
        <w:t xml:space="preserve">，</w:t>
      </w:r>
      <w:r>
        <w:rPr>
          <w:rFonts w:ascii="仿宋" w:eastAsia="仿宋" w:hAnsi="仿宋" w:cs="仿宋" w:hint="eastAsia"/>
          <w:color w:val="auto"/>
          <w:kern w:val="0"/>
          <w:sz w:val="32"/>
          <w:szCs w:val="32"/>
          <w:highlight w:val="none"/>
        </w:rPr>
        <w:t xml:space="preserve">加强对互联网信息管理、舆情监控和引导工作;</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0"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 </w:t>
      </w:r>
      <w:r>
        <w:rPr>
          <w:rFonts w:ascii="仿宋" w:eastAsia="仿宋" w:hAnsi="仿宋" w:cs="仿宋" w:hint="eastAsia"/>
          <w:b/>
          <w:bCs/>
          <w:color w:val="auto"/>
          <w:kern w:val="0"/>
          <w:sz w:val="32"/>
          <w:szCs w:val="32"/>
          <w:highlight w:val="none"/>
        </w:rPr>
        <w:t xml:space="preserve">县人民武装部：</w:t>
      </w:r>
      <w:r>
        <w:rPr>
          <w:rFonts w:ascii="仿宋" w:eastAsia="仿宋" w:hAnsi="仿宋" w:cs="仿宋" w:hint="eastAsia"/>
          <w:color w:val="auto"/>
          <w:kern w:val="0"/>
          <w:sz w:val="32"/>
          <w:szCs w:val="32"/>
          <w:highlight w:val="none"/>
        </w:rPr>
        <w:t xml:space="preserve">根据县</w:t>
      </w:r>
      <w:r>
        <w:rPr>
          <w:rFonts w:ascii="仿宋" w:eastAsia="仿宋" w:hAnsi="仿宋" w:cs="仿宋" w:hint="eastAsia"/>
          <w:color w:val="auto"/>
          <w:kern w:val="0"/>
          <w:sz w:val="32"/>
          <w:szCs w:val="32"/>
          <w:highlight w:val="none"/>
          <w:lang w:eastAsia="zh-CN"/>
        </w:rPr>
        <w:t xml:space="preserve">危化品应急指挥部</w:t>
      </w:r>
      <w:r>
        <w:rPr>
          <w:rFonts w:ascii="仿宋" w:eastAsia="仿宋" w:hAnsi="仿宋" w:cs="仿宋" w:hint="eastAsia"/>
          <w:color w:val="auto"/>
          <w:kern w:val="0"/>
          <w:sz w:val="32"/>
          <w:szCs w:val="32"/>
          <w:highlight w:val="none"/>
        </w:rPr>
        <w:t xml:space="preserve">的安排，组织动员民兵分队参加安全生产事故的应急救援工作，配合做好事故现场维护社会治安工作。</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应急管理局：</w:t>
      </w:r>
      <w:r>
        <w:rPr>
          <w:rFonts w:ascii="仿宋" w:eastAsia="仿宋" w:hAnsi="仿宋" w:cs="仿宋" w:hint="eastAsia"/>
          <w:color w:val="auto"/>
          <w:kern w:val="0"/>
          <w:sz w:val="32"/>
          <w:szCs w:val="32"/>
          <w:highlight w:val="none"/>
        </w:rPr>
        <w:t xml:space="preserve">牵头组织危险化学品生产安全事故调查和处理，并提出处理意见建议；负责县</w:t>
      </w:r>
      <w:r>
        <w:rPr>
          <w:rFonts w:ascii="仿宋" w:eastAsia="仿宋" w:hAnsi="仿宋" w:cs="仿宋" w:hint="eastAsia"/>
          <w:color w:val="auto"/>
          <w:kern w:val="0"/>
          <w:sz w:val="32"/>
          <w:szCs w:val="32"/>
          <w:highlight w:val="none"/>
          <w:lang w:eastAsia="zh-CN"/>
        </w:rPr>
        <w:t xml:space="preserve">危化品应急指挥部</w:t>
      </w:r>
      <w:r>
        <w:rPr>
          <w:rFonts w:ascii="仿宋" w:eastAsia="仿宋" w:hAnsi="仿宋" w:cs="仿宋" w:hint="eastAsia"/>
          <w:color w:val="auto"/>
          <w:kern w:val="0"/>
          <w:sz w:val="32"/>
          <w:szCs w:val="32"/>
          <w:highlight w:val="none"/>
        </w:rPr>
        <w:t xml:space="preserve">办公室的日常工作，负责危险化学品综合安全监督管理工作，对新建、改建、扩建生产、储存危险化学品的建设项目进行安全条件审查，核发危险化学品安全生产许可证、危险化学品安全使用许可证和危险化学品经营许可证，并负责危险化学品登记工作。组织危险化学品重大危险源的普查为应急救援提供详细的情况，负责危险化学品生产、存储、经营企业事故的牵头处置工作，参与其他领域事故的处置工作。</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县政府办公室：</w:t>
      </w:r>
      <w:r>
        <w:rPr>
          <w:rFonts w:ascii="仿宋" w:eastAsia="仿宋" w:hAnsi="仿宋" w:cs="仿宋" w:hint="eastAsia"/>
          <w:color w:val="auto"/>
          <w:kern w:val="0"/>
          <w:sz w:val="32"/>
          <w:szCs w:val="32"/>
          <w:highlight w:val="none"/>
        </w:rPr>
        <w:t xml:space="preserve">负责危险化学生产安全事故应急处置的协调、对外联络、信息收集和发布等工作。</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县公安局：</w:t>
      </w:r>
      <w:r>
        <w:rPr>
          <w:rFonts w:ascii="仿宋" w:eastAsia="仿宋" w:hAnsi="仿宋" w:cs="仿宋" w:hint="eastAsia"/>
          <w:color w:val="auto"/>
          <w:kern w:val="0"/>
          <w:sz w:val="32"/>
          <w:szCs w:val="32"/>
          <w:highlight w:val="none"/>
        </w:rPr>
        <w:t xml:space="preserve">参与危险化学品生产安全事故调查和处理，并提出处理意见建议；负责危险化学品的公共安全管理，核发剧毒化学品购买许可证、剧毒化学品道路运输通行证，并负责危险化学品运输车辆的道路交通安全管理。负责牵头处置危险化学品道路运输事故，做好事故现场的保护及交通疏导和人员疏散工作，劝阻无关人员进入事故现场；配合有关部门做好伤亡人员家属的安抚工作，对有关肇事人员和依法应承担法律责任的企业主要负责人采取监控措施，负责对危险化学品公共安全违法案件进行查处。</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县生态环境局：</w:t>
      </w:r>
      <w:r>
        <w:rPr>
          <w:rFonts w:ascii="仿宋" w:eastAsia="仿宋" w:hAnsi="仿宋" w:cs="仿宋" w:hint="eastAsia"/>
          <w:color w:val="auto"/>
          <w:kern w:val="0"/>
          <w:sz w:val="32"/>
          <w:szCs w:val="32"/>
          <w:highlight w:val="none"/>
        </w:rPr>
        <w:t xml:space="preserve">负责废弃危险化学品处置的监督管理工作，组织危险化学品的环境危害性鉴定和环境风险程度评估，负责实施重点环境管理的危险化学品环境管理登记和新化学物质环境管理登记；负责全县危险化学品生产安全事故的现场环境监测；牵头组织、协调因危险化学品生产安全事故引发的突发环境事件的应急处置工作；依照职责分工调查相关危险化学品环境污染事故和生态破坏事件。</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县气象局：</w:t>
      </w:r>
      <w:r>
        <w:rPr>
          <w:rFonts w:ascii="仿宋" w:eastAsia="仿宋" w:hAnsi="仿宋" w:cs="仿宋" w:hint="eastAsia"/>
          <w:color w:val="auto"/>
          <w:sz w:val="32"/>
          <w:szCs w:val="32"/>
          <w:highlight w:val="none"/>
        </w:rPr>
        <w:t xml:space="preserve">负责为危险化学品生产安全事故应急救援提供气象服务保障。</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县自然资源局：</w:t>
      </w:r>
      <w:r>
        <w:rPr>
          <w:rFonts w:ascii="仿宋" w:eastAsia="仿宋" w:hAnsi="仿宋" w:cs="仿宋" w:hint="eastAsia"/>
          <w:color w:val="auto"/>
          <w:kern w:val="0"/>
          <w:sz w:val="32"/>
          <w:szCs w:val="32"/>
          <w:highlight w:val="none"/>
        </w:rPr>
        <w:t xml:space="preserve">配合做好非危险化学品生产安全事故的应急救援工作；负责提供危险化学品生产安全事故应急处置所需的有关全县土地、矿产、森林、草原、湿地、水等自然资源和地质方面的基础资料。</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县卫生健康局：</w:t>
      </w:r>
      <w:r>
        <w:rPr>
          <w:rFonts w:ascii="仿宋" w:eastAsia="仿宋" w:hAnsi="仿宋" w:cs="仿宋" w:hint="eastAsia"/>
          <w:color w:val="auto"/>
          <w:kern w:val="0"/>
          <w:sz w:val="32"/>
          <w:szCs w:val="32"/>
          <w:highlight w:val="none"/>
        </w:rPr>
        <w:t xml:space="preserve">负责危险化学品生产安全事故现场医疗救护工作，迅速组织和指挥急救人员开展抢救工作；紧急调派医务人员、医药物资、医疗设备，协调使用急救场所；及时组织对医疗抢救方案提出调整、修订和补充意见；协助有关方面准确统计人员伤亡数字，及时向县应急救援指挥部报告人员抢救情况。</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县市场监督管理局：</w:t>
      </w:r>
      <w:r>
        <w:rPr>
          <w:rFonts w:ascii="仿宋" w:eastAsia="仿宋" w:hAnsi="仿宋" w:cs="仿宋" w:hint="eastAsia"/>
          <w:color w:val="auto"/>
          <w:sz w:val="32"/>
          <w:szCs w:val="32"/>
          <w:highlight w:val="none"/>
        </w:rPr>
        <w:t xml:space="preserve">配合有关单位开展危险化学品</w:t>
      </w:r>
      <w:r>
        <w:rPr>
          <w:rFonts w:ascii="仿宋" w:eastAsia="仿宋" w:hAnsi="仿宋" w:cs="仿宋" w:hint="eastAsia"/>
          <w:color w:val="auto"/>
          <w:sz w:val="32"/>
          <w:szCs w:val="32"/>
          <w:highlight w:val="none"/>
          <w:lang w:val="en-US" w:eastAsia="zh-CN"/>
        </w:rPr>
        <w:t xml:space="preserve">及特种设备</w:t>
      </w:r>
      <w:r>
        <w:rPr>
          <w:rFonts w:ascii="仿宋" w:eastAsia="仿宋" w:hAnsi="仿宋" w:cs="仿宋" w:hint="eastAsia"/>
          <w:color w:val="auto"/>
          <w:sz w:val="32"/>
          <w:szCs w:val="32"/>
          <w:highlight w:val="none"/>
        </w:rPr>
        <w:t xml:space="preserve">安全生产专项整治；依法查处危险化学品经营企业违法采购危险化学品的行为。</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县民政局：</w:t>
      </w:r>
      <w:r>
        <w:rPr>
          <w:rFonts w:ascii="仿宋" w:eastAsia="仿宋" w:hAnsi="仿宋" w:cs="仿宋" w:hint="eastAsia"/>
          <w:color w:val="auto"/>
          <w:sz w:val="32"/>
          <w:szCs w:val="32"/>
          <w:highlight w:val="none"/>
        </w:rPr>
        <w:t xml:space="preserve">做好危险化学品生产安全事故灾难后临时救助；</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县财政局：</w:t>
      </w:r>
      <w:r>
        <w:rPr>
          <w:rFonts w:ascii="仿宋" w:eastAsia="仿宋" w:hAnsi="仿宋" w:cs="仿宋" w:hint="eastAsia"/>
          <w:color w:val="auto"/>
          <w:kern w:val="0"/>
          <w:sz w:val="32"/>
          <w:szCs w:val="32"/>
          <w:highlight w:val="none"/>
        </w:rPr>
        <w:t xml:space="preserve">负责编制全县危险化学品生产安全事故应急救援资金预算；监督检查应急救援资金的使用情况。</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县发展和改革局：</w:t>
      </w:r>
      <w:r>
        <w:rPr>
          <w:rFonts w:ascii="仿宋" w:eastAsia="仿宋" w:hAnsi="仿宋" w:cs="仿宋" w:hint="eastAsia"/>
          <w:color w:val="auto"/>
          <w:kern w:val="0"/>
          <w:sz w:val="32"/>
          <w:szCs w:val="32"/>
          <w:highlight w:val="none"/>
        </w:rPr>
        <w:t xml:space="preserve">负责组织、协调危险化学品生产安全事故发生后的能源、生活必需品应急保障工作；负责成品油销售生产安全事故的应急处置工作。</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县人力资源和社会保障局:</w:t>
      </w:r>
      <w:r>
        <w:rPr>
          <w:rFonts w:ascii="仿宋" w:eastAsia="仿宋" w:hAnsi="仿宋" w:cs="仿宋" w:hint="eastAsia"/>
          <w:color w:val="auto"/>
          <w:kern w:val="0"/>
          <w:sz w:val="32"/>
          <w:szCs w:val="32"/>
          <w:highlight w:val="none"/>
        </w:rPr>
        <w:t xml:space="preserve">参与危险化学品生产安全事故调查和处理，并提出处理意见建议；负责员工工伤保险投保及管理工作。</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县住房和城乡建设局:</w:t>
      </w:r>
      <w:r>
        <w:rPr>
          <w:rFonts w:ascii="仿宋" w:eastAsia="仿宋" w:hAnsi="仿宋" w:cs="仿宋" w:hint="eastAsia"/>
          <w:color w:val="auto"/>
          <w:kern w:val="0"/>
          <w:sz w:val="32"/>
          <w:szCs w:val="32"/>
          <w:highlight w:val="none"/>
        </w:rPr>
        <w:t xml:space="preserve">负责牵头组织建设领域危险化学品和燃气管道、燃气供气等生产安全事故的应急处置工作。</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县交通运输局：</w:t>
      </w:r>
      <w:r>
        <w:rPr>
          <w:rFonts w:ascii="仿宋" w:eastAsia="仿宋" w:hAnsi="仿宋" w:cs="仿宋" w:hint="eastAsia"/>
          <w:color w:val="auto"/>
          <w:kern w:val="0"/>
          <w:sz w:val="32"/>
          <w:szCs w:val="32"/>
          <w:highlight w:val="none"/>
        </w:rPr>
        <w:t xml:space="preserve">负责危险化学品道路运输</w:t>
      </w:r>
      <w:r>
        <w:rPr>
          <w:rFonts w:ascii="仿宋" w:eastAsia="仿宋" w:hAnsi="仿宋" w:cs="仿宋" w:hint="eastAsia"/>
          <w:color w:val="auto"/>
          <w:kern w:val="0"/>
          <w:sz w:val="32"/>
          <w:szCs w:val="32"/>
          <w:highlight w:val="none"/>
          <w:lang w:val="en-US" w:eastAsia="zh-CN"/>
        </w:rPr>
        <w:t xml:space="preserve">企业道路运输许可情况的监管</w:t>
      </w:r>
      <w:r>
        <w:rPr>
          <w:rFonts w:ascii="仿宋" w:eastAsia="仿宋" w:hAnsi="仿宋" w:cs="仿宋" w:hint="eastAsia"/>
          <w:color w:val="auto"/>
          <w:kern w:val="0"/>
          <w:sz w:val="32"/>
          <w:szCs w:val="32"/>
          <w:highlight w:val="none"/>
        </w:rPr>
        <w:t xml:space="preserve">，负责危险化学品道路运输企业驾驶人员、装卸管理人员、押运人员、申报人员、集装箱装箱现场检查员的资格认定；配合做好交通运输发生危险化学品生产安全事故的应急处置工作；负责指导、协调应急处置所需的交通运输保障工作；组织、协调交通运输工程施工事故的应急处置工作。</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县水利局：</w:t>
      </w:r>
      <w:r>
        <w:rPr>
          <w:rFonts w:ascii="仿宋" w:eastAsia="仿宋" w:hAnsi="仿宋" w:cs="仿宋" w:hint="eastAsia"/>
          <w:color w:val="auto"/>
          <w:kern w:val="0"/>
          <w:sz w:val="32"/>
          <w:szCs w:val="32"/>
          <w:highlight w:val="none"/>
        </w:rPr>
        <w:t xml:space="preserve">负责牵头组织水利建设领域各类危险化学品生产安全事故的处置工作。</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县农业农村局：</w:t>
      </w:r>
      <w:r>
        <w:rPr>
          <w:rFonts w:ascii="仿宋" w:eastAsia="仿宋" w:hAnsi="仿宋" w:cs="仿宋" w:hint="eastAsia"/>
          <w:color w:val="auto"/>
          <w:kern w:val="0"/>
          <w:sz w:val="32"/>
          <w:szCs w:val="32"/>
          <w:highlight w:val="none"/>
        </w:rPr>
        <w:t xml:space="preserve">责负组织、协调农业生产领域危险化学品生产安全事故的应急处置工作。</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县教育局：</w:t>
      </w:r>
      <w:r>
        <w:rPr>
          <w:rFonts w:ascii="仿宋" w:eastAsia="仿宋" w:hAnsi="仿宋" w:cs="仿宋" w:hint="eastAsia"/>
          <w:color w:val="auto"/>
          <w:kern w:val="0"/>
          <w:sz w:val="32"/>
          <w:szCs w:val="32"/>
          <w:highlight w:val="none"/>
        </w:rPr>
        <w:t xml:space="preserve">负责指导、协调全县教育系统各类危险化学品生产安全事故的应急处置工作；</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县消防救援大队：</w:t>
      </w:r>
      <w:r>
        <w:rPr>
          <w:rFonts w:ascii="仿宋" w:eastAsia="仿宋" w:hAnsi="仿宋" w:cs="仿宋" w:hint="eastAsia"/>
          <w:color w:val="auto"/>
          <w:kern w:val="0"/>
          <w:sz w:val="32"/>
          <w:szCs w:val="32"/>
          <w:highlight w:val="none"/>
        </w:rPr>
        <w:t xml:space="preserve"> 负责组织对火灾、危险化学品等重大危险化学品生产安全事故的应急救援，负责事故现场人员搜救、事故抢险救灾、现场洗消等工作，负责</w:t>
      </w:r>
      <w:r>
        <w:rPr>
          <w:rFonts w:ascii="仿宋" w:eastAsia="仿宋" w:hAnsi="仿宋" w:cs="仿宋" w:hint="eastAsia"/>
          <w:color w:val="auto"/>
          <w:kern w:val="0"/>
          <w:sz w:val="32"/>
          <w:szCs w:val="32"/>
          <w:highlight w:val="none"/>
          <w:lang w:val="en-US" w:eastAsia="zh-CN"/>
        </w:rPr>
        <w:t xml:space="preserve">对危险化学品经营、储存、使用、运输企业和场所进行消防监督检查</w:t>
      </w:r>
      <w:r>
        <w:rPr>
          <w:rFonts w:ascii="仿宋" w:eastAsia="仿宋" w:hAnsi="仿宋" w:cs="仿宋" w:hint="eastAsia"/>
          <w:color w:val="auto"/>
          <w:kern w:val="0"/>
          <w:sz w:val="32"/>
          <w:szCs w:val="32"/>
          <w:highlight w:val="none"/>
        </w:rPr>
        <w:t xml:space="preserve">。</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县总工会：</w:t>
      </w:r>
      <w:r>
        <w:rPr>
          <w:rFonts w:ascii="仿宋" w:eastAsia="仿宋" w:hAnsi="仿宋" w:cs="仿宋" w:hint="eastAsia"/>
          <w:color w:val="auto"/>
          <w:kern w:val="0"/>
          <w:sz w:val="32"/>
          <w:szCs w:val="32"/>
          <w:highlight w:val="none"/>
        </w:rPr>
        <w:t xml:space="preserve">参与危险化学品生产安全事故调查和处理，并提出处理意见建议；负责指导、协调做好危险化学品生产安全事故遇难、受伤人员、家属员工利益保障工作。</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县供电公司：</w:t>
      </w:r>
      <w:r>
        <w:rPr>
          <w:rFonts w:ascii="仿宋" w:eastAsia="仿宋" w:hAnsi="仿宋" w:cs="仿宋" w:hint="eastAsia"/>
          <w:color w:val="auto"/>
          <w:kern w:val="0"/>
          <w:sz w:val="32"/>
          <w:szCs w:val="32"/>
          <w:highlight w:val="none"/>
        </w:rPr>
        <w:t xml:space="preserve">负责指导、协调危险化学品生产安全事故应急救援所需的电力保障工作</w:t>
      </w:r>
      <w:r>
        <w:rPr>
          <w:rFonts w:ascii="仿宋" w:eastAsia="仿宋" w:hAnsi="仿宋" w:cs="仿宋" w:hint="eastAsia"/>
          <w:color w:val="auto"/>
          <w:kern w:val="0"/>
          <w:sz w:val="32"/>
          <w:szCs w:val="32"/>
          <w:highlight w:val="none"/>
          <w:lang w:eastAsia="zh-CN"/>
        </w:rPr>
        <w:t xml:space="preserve">，</w:t>
      </w:r>
      <w:r>
        <w:rPr>
          <w:rFonts w:ascii="仿宋" w:eastAsia="仿宋" w:hAnsi="仿宋" w:cs="仿宋" w:hint="eastAsia"/>
          <w:color w:val="auto"/>
          <w:kern w:val="0"/>
          <w:sz w:val="32"/>
          <w:szCs w:val="32"/>
          <w:highlight w:val="none"/>
          <w:lang w:val="en-US" w:eastAsia="zh-CN"/>
        </w:rPr>
        <w:t xml:space="preserve">负责切断受危险化学品生产安全事故影响危险区域的供电电源</w:t>
      </w:r>
      <w:r>
        <w:rPr>
          <w:rFonts w:ascii="仿宋" w:eastAsia="仿宋" w:hAnsi="仿宋" w:cs="仿宋" w:hint="eastAsia"/>
          <w:color w:val="auto"/>
          <w:kern w:val="0"/>
          <w:sz w:val="32"/>
          <w:szCs w:val="32"/>
          <w:highlight w:val="none"/>
        </w:rPr>
        <w:t xml:space="preserve">；</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县电信、移动、联通公司：</w:t>
      </w:r>
      <w:r>
        <w:rPr>
          <w:rFonts w:ascii="仿宋" w:eastAsia="仿宋" w:hAnsi="仿宋" w:cs="仿宋" w:hint="eastAsia"/>
          <w:color w:val="auto"/>
          <w:kern w:val="0"/>
          <w:sz w:val="32"/>
          <w:szCs w:val="32"/>
          <w:highlight w:val="none"/>
        </w:rPr>
        <w:t xml:space="preserve">负责协调危险化学品生产安全事故应急救援所需的通信保障工作。</w:t>
      </w:r>
    </w:p>
    <w:p>
      <w:pPr>
        <w:keepNext w:val="0"/>
        <w:keepLines w:val="0"/>
        <w:pageBreakBefore w:val="0"/>
        <w:widowControl/>
        <w:numPr>
          <w:ilvl w:val="0"/>
          <w:numId w:val="63"/>
        </w:numPr>
        <w:shd w:val="clear" w:color="auto" w:fill="FFFFFF"/>
        <w:kinsoku/>
        <w:wordWrap/>
        <w:overflowPunct/>
        <w:topLinePunct w:val="0"/>
        <w:autoSpaceDE/>
        <w:autoSpaceDN/>
        <w:bidi w:val="0"/>
        <w:adjustRightInd/>
        <w:snapToGrid/>
        <w:spacing w:line="576" w:lineRule="exact"/>
        <w:ind w:left="0" w:firstLine="643" w:firstLineChars="200"/>
        <w:textAlignment w:val="auto"/>
        <w:rPr>
          <w:rFonts w:ascii="仿宋" w:eastAsia="仿宋" w:hAnsi="仿宋" w:cs="仿宋" w:hint="eastAsia"/>
          <w:color w:val="auto"/>
          <w:kern w:val="0"/>
          <w:sz w:val="32"/>
          <w:szCs w:val="32"/>
          <w:highlight w:val="none"/>
        </w:rPr>
      </w:pPr>
      <w:r>
        <w:rPr>
          <w:rFonts w:ascii="仿宋" w:eastAsia="仿宋" w:hAnsi="仿宋" w:cs="仿宋" w:hint="eastAsia"/>
          <w:b/>
          <w:color w:val="auto"/>
          <w:kern w:val="0"/>
          <w:sz w:val="32"/>
          <w:szCs w:val="32"/>
          <w:highlight w:val="none"/>
        </w:rPr>
        <w:t xml:space="preserve">各乡镇政府（街道办事处）：</w:t>
      </w:r>
      <w:r>
        <w:rPr>
          <w:rFonts w:ascii="仿宋" w:eastAsia="仿宋" w:hAnsi="仿宋" w:cs="仿宋" w:hint="eastAsia"/>
          <w:color w:val="auto"/>
          <w:kern w:val="0"/>
          <w:sz w:val="32"/>
          <w:szCs w:val="32"/>
          <w:highlight w:val="none"/>
        </w:rPr>
        <w:t xml:space="preserve">负责组织力量在第一时间赶赴事故现场实施先期应急处置，抢救伤员，疏散村民，善后处理和社会稳定工作。制定本辖区内重点企业应急方案并负责实施。参与危险化学品生产安全事故调查和处理，并提出处理意见建议；负责组织力量在第一时间赶赴事故现场实施先期应急处置，抢救伤员，疏散村民，善后处理和社会稳定工作。制定本辖区内重点企业应急方案并负责实施。</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rPr>
      </w:pPr>
      <w:bookmarkStart w:id="50" w:name="_Toc10710"/>
      <w:bookmarkStart w:id="51" w:name="_Toc417"/>
      <w:bookmarkStart w:id="52" w:name="_Toc10022"/>
      <w:r>
        <w:rPr>
          <w:rFonts w:ascii="楷体" w:eastAsia="楷体" w:hAnsi="楷体" w:cs="楷体" w:hint="eastAsia"/>
          <w:b/>
          <w:color w:val="auto"/>
          <w:kern w:val="0"/>
          <w:sz w:val="32"/>
          <w:szCs w:val="32"/>
          <w:highlight w:val="none"/>
        </w:rPr>
        <w:t xml:space="preserve">3.4应急救援队伍</w:t>
      </w:r>
      <w:bookmarkEnd w:id="50"/>
      <w:bookmarkEnd w:id="51"/>
      <w:bookmarkEnd w:id="52"/>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危险化学品生产安全事故应急救援队伍包括消防救援队伍，企业专兼职应急救援队伍，专业应急救援队伍，卫生、环境保护和其他有关部门的应急救援队伍等，必要时，可协调当地驻军、市级危险化学品应急救援队伍。各应急救援队伍接到应急救援调度指令后，应立即携带专业救援装备器材，赶赴事故现场，在指挥部统一指挥下，发挥专长、相互协作进行现场救援处置。</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53" w:name="_Toc3025"/>
      <w:bookmarkStart w:id="54" w:name="_Toc15866"/>
      <w:bookmarkStart w:id="55" w:name="_Toc26321"/>
      <w:r>
        <w:rPr>
          <w:rFonts w:ascii="楷体" w:eastAsia="楷体" w:hAnsi="楷体" w:cs="楷体" w:hint="eastAsia"/>
          <w:b/>
          <w:color w:val="auto"/>
          <w:kern w:val="0"/>
          <w:sz w:val="32"/>
          <w:szCs w:val="32"/>
          <w:highlight w:val="none"/>
        </w:rPr>
        <w:t xml:space="preserve">3.5事故发生单位</w:t>
      </w:r>
      <w:bookmarkEnd w:id="53"/>
      <w:bookmarkEnd w:id="54"/>
      <w:r>
        <w:rPr>
          <w:rFonts w:ascii="楷体" w:eastAsia="楷体" w:hAnsi="楷体" w:cs="楷体" w:hint="eastAsia"/>
          <w:b/>
          <w:color w:val="auto"/>
          <w:kern w:val="0"/>
          <w:sz w:val="32"/>
          <w:szCs w:val="32"/>
          <w:highlight w:val="none"/>
          <w:lang w:val="en-US" w:eastAsia="zh-CN"/>
        </w:rPr>
        <w:t xml:space="preserve">职责</w:t>
      </w:r>
      <w:bookmarkEnd w:id="55"/>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做好危险化学品生产安全事故的先期处置工作，如实向指挥部报告事故情况、提供事故现场的相关资料，在力所能及的范围内提供救援设备、设施和工具，接受并落实指挥部交办的工作，为应急处置工作提供技术支持，组织生产人员执行应急处置工作，不得故意破坏事故现场、毁灭证据，提供虚假信息。</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p>
    <w:p>
      <w:pPr>
        <w:widowControl/>
        <w:shd w:val="clear" w:color="auto" w:fill="FFFFFF"/>
        <w:spacing w:line="576" w:lineRule="exact"/>
        <w:jc w:val="center"/>
        <w:outlineLvl w:val="0"/>
        <w:rPr>
          <w:rFonts w:ascii="黑体" w:eastAsia="黑体" w:hAnsi="黑体" w:cs="宋体" w:hint="eastAsia"/>
          <w:color w:val="auto"/>
          <w:kern w:val="0"/>
          <w:sz w:val="32"/>
          <w:szCs w:val="32"/>
          <w:highlight w:val="none"/>
        </w:rPr>
      </w:pPr>
      <w:bookmarkStart w:id="56" w:name="_Toc26090"/>
      <w:bookmarkStart w:id="57" w:name="_Toc13287"/>
      <w:bookmarkStart w:id="58" w:name="_Toc9761_WPSOffice_Level1"/>
      <w:bookmarkStart w:id="59" w:name="_Toc26109"/>
      <w:bookmarkStart w:id="60" w:name="_Toc21102"/>
      <w:r>
        <w:rPr>
          <w:rFonts w:ascii="黑体" w:eastAsia="黑体" w:hAnsi="黑体" w:cs="宋体" w:hint="eastAsia"/>
          <w:color w:val="auto"/>
          <w:kern w:val="0"/>
          <w:sz w:val="32"/>
          <w:szCs w:val="32"/>
          <w:highlight w:val="none"/>
        </w:rPr>
        <w:t xml:space="preserve">4.预警和</w:t>
      </w:r>
      <w:bookmarkEnd w:id="56"/>
      <w:r>
        <w:rPr>
          <w:rFonts w:ascii="黑体" w:eastAsia="黑体" w:hAnsi="黑体" w:cs="宋体" w:hint="eastAsia"/>
          <w:color w:val="auto"/>
          <w:kern w:val="0"/>
          <w:sz w:val="32"/>
          <w:szCs w:val="32"/>
          <w:highlight w:val="none"/>
        </w:rPr>
        <w:t xml:space="preserve">信息报告</w:t>
      </w:r>
      <w:bookmarkEnd w:id="57"/>
      <w:bookmarkEnd w:id="58"/>
      <w:bookmarkEnd w:id="59"/>
      <w:bookmarkEnd w:id="60"/>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61" w:name="_Toc17226"/>
      <w:bookmarkStart w:id="62" w:name="_Toc10452"/>
      <w:bookmarkStart w:id="63" w:name="_Toc15487"/>
      <w:bookmarkStart w:id="64" w:name="_Toc31913_WPSOffice_Level2"/>
      <w:bookmarkStart w:id="65" w:name="_Toc10194"/>
      <w:r>
        <w:rPr>
          <w:rFonts w:ascii="楷体" w:eastAsia="楷体" w:hAnsi="楷体" w:cs="楷体" w:hint="eastAsia"/>
          <w:b/>
          <w:color w:val="auto"/>
          <w:kern w:val="0"/>
          <w:sz w:val="32"/>
          <w:szCs w:val="32"/>
          <w:highlight w:val="none"/>
          <w:lang w:val="en-US" w:eastAsia="zh-CN"/>
        </w:rPr>
        <w:t xml:space="preserve">4.1</w:t>
      </w:r>
      <w:bookmarkEnd w:id="61"/>
      <w:r>
        <w:rPr>
          <w:rFonts w:ascii="楷体" w:eastAsia="楷体" w:hAnsi="楷体" w:cs="楷体" w:hint="eastAsia"/>
          <w:b/>
          <w:color w:val="auto"/>
          <w:kern w:val="0"/>
          <w:sz w:val="32"/>
          <w:szCs w:val="32"/>
          <w:highlight w:val="none"/>
          <w:lang w:val="en-US" w:eastAsia="zh-CN"/>
        </w:rPr>
        <w:t xml:space="preserve">预警预防</w:t>
      </w:r>
      <w:bookmarkEnd w:id="62"/>
      <w:bookmarkEnd w:id="63"/>
      <w:bookmarkEnd w:id="64"/>
      <w:bookmarkEnd w:id="65"/>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4.1.1　监控预防</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县应急指挥部成员单位要加强对重大危险源和重大险情的监控，及时排查整改可能引发危险化学品生产安全事故的风险隐患；对生产经营单位生产过程中安全事故隐患排查情况加强督查，督促企业及时整改。出现下列情形之一，相关乡镇（街道办事处）、部门、各管委会和生产经营单位必须及时向县应急管理局报告情况。</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(1)地震、雷电、强降雨、冰雪、山体滑坡、泥石流等自然灾害危等可能引发次生危险化学品生产安全事故；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(2)重大危险源存在严重隐患，可能引发一般以上危险化学品生产安全事故；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(3)发生可能导致一般以上危险化学品生产安全事故的其他险情。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r>
        <w:rPr>
          <w:rFonts w:ascii="仿宋" w:eastAsia="仿宋" w:hAnsi="仿宋" w:cs="仿宋" w:hint="eastAsia"/>
          <w:b/>
          <w:bCs/>
          <w:color w:val="auto"/>
          <w:kern w:val="0"/>
          <w:sz w:val="32"/>
          <w:szCs w:val="32"/>
          <w:highlight w:val="none"/>
        </w:rPr>
        <w:t xml:space="preserve">4.1.2　预警级别</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按照危险化学品生产安全事故可能造成的危害程度、发展情况和紧迫性等因素，采取4个预警级别：Ⅰ级(红色)、Ⅱ级(橙色)、Ⅲ级(黄色)、Ⅳ级(蓝色)，Ⅰ级为最高级别、Ⅳ级为最低级别。</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Ⅰ级预警：</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危险化学品发生较大量的泄漏或在生产、经营、储存、运输、使用和废弃处置等过程中发生火灾事故或爆炸事故，可能发生或引发特别重大危险化学品生产安全事故的；或事故已发生，可能进一步扩大影响范围，造成重大危害的，发布红色预警。</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r>
        <w:rPr>
          <w:rFonts w:ascii="仿宋" w:eastAsia="仿宋" w:hAnsi="仿宋" w:cs="仿宋" w:hint="eastAsia"/>
          <w:b/>
          <w:bCs/>
          <w:color w:val="auto"/>
          <w:kern w:val="0"/>
          <w:sz w:val="32"/>
          <w:szCs w:val="32"/>
          <w:highlight w:val="none"/>
        </w:rPr>
        <w:t xml:space="preserve">Ⅱ级预警：</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危险化学品发生大量泄漏或在生产、经营、储存、运输、使用和废弃处置等过程中发生火灾事故或爆炸事故，可能发生或引发重大危险化学品生产安全事故的；或事故已发生，可能进一步扩大影响范围，造成更大危害的，发布橙色预警。</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r>
        <w:rPr>
          <w:rFonts w:ascii="仿宋" w:eastAsia="仿宋" w:hAnsi="仿宋" w:cs="仿宋" w:hint="eastAsia"/>
          <w:b/>
          <w:bCs/>
          <w:color w:val="auto"/>
          <w:kern w:val="0"/>
          <w:sz w:val="32"/>
          <w:szCs w:val="32"/>
          <w:highlight w:val="none"/>
        </w:rPr>
        <w:t xml:space="preserve">Ⅲ级预警：</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危险化学品发生一定量的泄漏或在生产、经营、储存、运输、使用和废弃处置等过程中发生火灾事故或爆炸事故，可能发生或引发较大危险化学品生产安全事故的；或事故已发生，可能进一步扩大影响范围，造成较大危害的，发布黄色预警。</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Ⅳ级预警：</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危险化学品发生少量泄漏或在生产、经营、储存、运输、使用和废弃处置等过程中发生火灾事故或爆炸事故，存在重大危险化学品生产安全事故隐患，可能发生或引发一般危险化学品生产安全事故的；或事故已发生，可能进一步扩大影响范围，造成公共危害的，发布蓝色预警。</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r>
        <w:rPr>
          <w:rFonts w:ascii="仿宋" w:eastAsia="仿宋" w:hAnsi="仿宋" w:cs="仿宋" w:hint="eastAsia"/>
          <w:b/>
          <w:bCs/>
          <w:color w:val="auto"/>
          <w:kern w:val="0"/>
          <w:sz w:val="32"/>
          <w:szCs w:val="32"/>
          <w:highlight w:val="none"/>
        </w:rPr>
        <w:t xml:space="preserve">4.1.3　预警信息发布</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根据《青海省突发事件预警信息发布管理办法》规定，可预警的生产安全事件即将发生或发生的可能性增大时，要向社会公开发布预警信息，预警信息实行分级发布。</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四级预警信息，由县政府授权牵头处置部门或县危化品应急指挥部发布。</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三级预警信息，由西宁市政府授权有关单位发布。</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二级以上预警信息，由西宁市政府根据省政府的授权确定。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预警信息实行动态管理制度。发布预警信息的单位要根据事态的发展，适时调整预警级别和预警信息。</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当事故得到妥善处理、涉险事故危险性降低或消除时，根据变化情况适时降低预警级别或宣布解除预警。</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4.1.4 预警信息发布流程</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（1）发布申请。被授权单位根据预警信息发布的职责范围，填写突发生产安全事件预警信息发布申请表，向县政府提出预警信息发布申请。</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申请发布的预警信息需提供级别判定依据，确定发布范围，确保语言准确，文字简练，格式规范，内容重点突出，通俗易懂。</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（2）发布审批。县政府在收到预警信息发布申请后，根据预警级别划分标准核定预警信息级别，必要时召集有关专家进行会商，并就是否需要发布预警信息、发布范围、发布内容等提出意见，按规定呈批。</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（3）信息发布。被授权单位根据批准内容及时发布相关的预警信息。其他任何组织和个人不得向社会发布预警信息。</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r>
        <w:rPr>
          <w:rFonts w:ascii="仿宋" w:eastAsia="仿宋" w:hAnsi="仿宋" w:cs="仿宋" w:hint="eastAsia"/>
          <w:b/>
          <w:bCs/>
          <w:color w:val="auto"/>
          <w:kern w:val="0"/>
          <w:sz w:val="32"/>
          <w:szCs w:val="32"/>
          <w:highlight w:val="none"/>
        </w:rPr>
        <w:t xml:space="preserve">4.1.5　预警内容</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预警区域(场所)、险情类别、预警级别、预警起始时间、可能影响范围、警示事项、事态发展、相关措施、咨询电话等内容。</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r>
        <w:rPr>
          <w:rFonts w:ascii="仿宋" w:eastAsia="仿宋" w:hAnsi="仿宋" w:cs="仿宋" w:hint="eastAsia"/>
          <w:b/>
          <w:bCs/>
          <w:color w:val="auto"/>
          <w:kern w:val="0"/>
          <w:sz w:val="32"/>
          <w:szCs w:val="32"/>
          <w:highlight w:val="none"/>
        </w:rPr>
        <w:t xml:space="preserve">4.1.6　预警信息处置</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相关乡镇（街道）、部门、管委会接到预警信息，要采取有效措施做好防范应对工作，防止险情扩大和事故发生。</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预警信息发布后，县危险化学品生产安全事故应急救援领导小组各成员单位要迅速进入应急状态,密切关注事态进展,并按照预案做好应急响应准备。</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县应急管理</w:t>
      </w:r>
      <w:r>
        <w:rPr>
          <w:rFonts w:ascii="仿宋" w:eastAsia="仿宋" w:hAnsi="仿宋" w:cs="仿宋" w:hint="eastAsia"/>
          <w:color w:val="auto"/>
          <w:kern w:val="0"/>
          <w:sz w:val="32"/>
          <w:szCs w:val="32"/>
          <w:highlight w:val="none"/>
          <w:lang w:val="en-US" w:eastAsia="zh-CN"/>
        </w:rPr>
        <w:t xml:space="preserve">主管</w:t>
      </w:r>
      <w:r>
        <w:rPr>
          <w:rFonts w:ascii="仿宋" w:eastAsia="仿宋" w:hAnsi="仿宋" w:cs="仿宋" w:hint="eastAsia"/>
          <w:color w:val="auto"/>
          <w:kern w:val="0"/>
          <w:sz w:val="32"/>
          <w:szCs w:val="32"/>
          <w:highlight w:val="none"/>
        </w:rPr>
        <w:t xml:space="preserve">部</w:t>
      </w:r>
      <w:r>
        <w:rPr>
          <w:rFonts w:ascii="仿宋" w:eastAsia="仿宋" w:hAnsi="仿宋" w:cs="仿宋" w:hint="eastAsia"/>
          <w:color w:val="auto"/>
          <w:kern w:val="0"/>
          <w:sz w:val="32"/>
          <w:szCs w:val="32"/>
          <w:highlight w:val="none"/>
          <w:lang w:val="en-US" w:eastAsia="zh-CN"/>
        </w:rPr>
        <w:t xml:space="preserve">门</w:t>
      </w:r>
      <w:r>
        <w:rPr>
          <w:rFonts w:ascii="仿宋" w:eastAsia="仿宋" w:hAnsi="仿宋" w:cs="仿宋" w:hint="eastAsia"/>
          <w:color w:val="auto"/>
          <w:kern w:val="0"/>
          <w:sz w:val="32"/>
          <w:szCs w:val="32"/>
          <w:highlight w:val="none"/>
        </w:rPr>
        <w:t xml:space="preserve">要及时对事故险情进行跟踪监控，如发现险情扩大时,要</w:t>
      </w:r>
      <w:r>
        <w:rPr>
          <w:rFonts w:ascii="仿宋" w:eastAsia="仿宋" w:hAnsi="仿宋" w:cs="仿宋" w:hint="eastAsia"/>
          <w:color w:val="auto"/>
          <w:kern w:val="0"/>
          <w:sz w:val="32"/>
          <w:szCs w:val="32"/>
          <w:highlight w:val="none"/>
          <w:lang w:val="en-US" w:eastAsia="zh-CN"/>
        </w:rPr>
        <w:t xml:space="preserve">及时</w:t>
      </w:r>
      <w:r>
        <w:rPr>
          <w:rFonts w:ascii="仿宋" w:eastAsia="仿宋" w:hAnsi="仿宋" w:cs="仿宋" w:hint="eastAsia"/>
          <w:color w:val="auto"/>
          <w:kern w:val="0"/>
          <w:sz w:val="32"/>
          <w:szCs w:val="32"/>
          <w:highlight w:val="none"/>
        </w:rPr>
        <w:t xml:space="preserve">提升预警级别。</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r>
        <w:rPr>
          <w:rFonts w:ascii="仿宋" w:eastAsia="仿宋" w:hAnsi="仿宋" w:cs="仿宋" w:hint="eastAsia"/>
          <w:b/>
          <w:bCs/>
          <w:color w:val="auto"/>
          <w:kern w:val="0"/>
          <w:sz w:val="32"/>
          <w:szCs w:val="32"/>
          <w:highlight w:val="none"/>
        </w:rPr>
        <w:t xml:space="preserve">4.1.7　预警解除</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有事实证明不可能发生突发事件或者危险已经解除的，按照规定及时宣布终止预警，并解除已经采取的有关措施。</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66" w:name="_Toc14309_WPSOffice_Level2"/>
      <w:bookmarkStart w:id="67" w:name="_Toc16178"/>
      <w:bookmarkStart w:id="68" w:name="_Toc15424"/>
      <w:bookmarkStart w:id="69" w:name="_Toc29725"/>
      <w:bookmarkStart w:id="70" w:name="_Toc14488"/>
      <w:r>
        <w:rPr>
          <w:rFonts w:ascii="楷体" w:eastAsia="楷体" w:hAnsi="楷体" w:cs="楷体" w:hint="eastAsia"/>
          <w:b/>
          <w:color w:val="auto"/>
          <w:kern w:val="0"/>
          <w:sz w:val="32"/>
          <w:szCs w:val="32"/>
          <w:highlight w:val="none"/>
          <w:lang w:val="en-US" w:eastAsia="zh-CN"/>
        </w:rPr>
        <w:t xml:space="preserve">4.2</w:t>
      </w:r>
      <w:bookmarkEnd w:id="66"/>
      <w:bookmarkStart w:id="71" w:name="_Toc25992_WPSOffice_Level2"/>
      <w:r>
        <w:rPr>
          <w:rFonts w:ascii="楷体" w:eastAsia="楷体" w:hAnsi="楷体" w:cs="楷体" w:hint="eastAsia"/>
          <w:b/>
          <w:color w:val="auto"/>
          <w:kern w:val="0"/>
          <w:sz w:val="32"/>
          <w:szCs w:val="32"/>
          <w:highlight w:val="none"/>
          <w:lang w:val="en-US" w:eastAsia="zh-CN"/>
        </w:rPr>
        <w:t xml:space="preserve">预警</w:t>
      </w:r>
      <w:bookmarkEnd w:id="71"/>
      <w:r>
        <w:rPr>
          <w:rFonts w:ascii="楷体" w:eastAsia="楷体" w:hAnsi="楷体" w:cs="楷体" w:hint="eastAsia"/>
          <w:b/>
          <w:color w:val="auto"/>
          <w:kern w:val="0"/>
          <w:sz w:val="32"/>
          <w:szCs w:val="32"/>
          <w:highlight w:val="none"/>
          <w:lang w:val="en-US" w:eastAsia="zh-CN"/>
        </w:rPr>
        <w:t xml:space="preserve">响应</w:t>
      </w:r>
      <w:bookmarkEnd w:id="67"/>
      <w:bookmarkEnd w:id="68"/>
      <w:bookmarkEnd w:id="69"/>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4.2.1分级响应</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按事故的可控性、严重程度、影响范围，将危险化学品生产安全事故分为特别重大事故（I级）、重大事故（Ⅱ级）、较大事故（Ⅲ级）和一般事故（IV级）。</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发生IV级危险化学品生产安全事故及险情，启动本预案及以下各级预案。Ⅲ级及以上危险化学品生产安全事故应急响应行动的组织实施由市政府决定。超出本级政府应急救援处置能力时，及时报请上一级应急救援指挥机构启动上一级预案实施救援。</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4.2.2应急响应启动条件</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（一）当接到事故单位已发生危险化学品生产安全事故信息后，进入本预案应急响应启动准备状态。</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（二）下列情况下，启动本预案的应急响应：</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（1）发生IV级及以上的危险化学品生产安全事故；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（2）接到事故发生单位应急增援请求；</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（3）接到上级关于应急增援的指示；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（4）县政府领导认为有必要启动；</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（5）执行其他应急预案时需要启动本预案。</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72" w:name="_Toc18823"/>
      <w:bookmarkStart w:id="73" w:name="_Toc2444_WPSOffice_Level2"/>
      <w:bookmarkStart w:id="74" w:name="_Toc14499"/>
      <w:bookmarkStart w:id="75" w:name="_Toc29971"/>
      <w:r>
        <w:rPr>
          <w:rFonts w:ascii="楷体" w:eastAsia="楷体" w:hAnsi="楷体" w:cs="楷体" w:hint="eastAsia"/>
          <w:b/>
          <w:color w:val="auto"/>
          <w:kern w:val="0"/>
          <w:sz w:val="32"/>
          <w:szCs w:val="32"/>
          <w:highlight w:val="none"/>
          <w:lang w:val="en-US" w:eastAsia="zh-CN"/>
        </w:rPr>
        <w:t xml:space="preserve">4.3 </w:t>
      </w:r>
      <w:bookmarkEnd w:id="70"/>
      <w:r>
        <w:rPr>
          <w:rFonts w:ascii="楷体" w:eastAsia="楷体" w:hAnsi="楷体" w:cs="楷体" w:hint="eastAsia"/>
          <w:b/>
          <w:color w:val="auto"/>
          <w:kern w:val="0"/>
          <w:sz w:val="32"/>
          <w:szCs w:val="32"/>
          <w:highlight w:val="none"/>
          <w:lang w:val="en-US" w:eastAsia="zh-CN"/>
        </w:rPr>
        <w:t xml:space="preserve">信息报告</w:t>
      </w:r>
      <w:bookmarkEnd w:id="72"/>
      <w:bookmarkEnd w:id="73"/>
      <w:bookmarkEnd w:id="74"/>
      <w:bookmarkEnd w:id="75"/>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r>
        <w:rPr>
          <w:rFonts w:ascii="仿宋" w:eastAsia="仿宋" w:hAnsi="仿宋" w:cs="仿宋" w:hint="eastAsia"/>
          <w:b/>
          <w:bCs/>
          <w:color w:val="auto"/>
          <w:kern w:val="0"/>
          <w:sz w:val="32"/>
          <w:szCs w:val="32"/>
          <w:highlight w:val="none"/>
        </w:rPr>
        <w:t xml:space="preserve">4.3.1 报告时限</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危险化学品生产安全事故发生后，事故现场有关人员要立即向本单位负责人报告；单位负责人接到报告后，立即报告县应急管理局和负有相应管理职能的有关单位。</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对于已经明确发生一般事故以上的突发事件以及因危险化学品运输发生的有毒有害气体泄漏、爆炸、中毒、火灾等事故，死伤人数一时不明、灾情一时无法核实的事件时，有关负有危险化学品安全监督管理职责的部门接到信息报告后，采取速报方式立即上报县应急管理局。</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事故紧急的可先电话口头报告，然后以文字形式报告，来不及呈送详细报告的，可先简要报告，然后根据事态的发展和处理情况，随时续报。</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r>
        <w:rPr>
          <w:rFonts w:ascii="仿宋" w:eastAsia="仿宋" w:hAnsi="仿宋" w:cs="仿宋" w:hint="eastAsia"/>
          <w:b/>
          <w:bCs/>
          <w:color w:val="auto"/>
          <w:kern w:val="0"/>
          <w:sz w:val="32"/>
          <w:szCs w:val="32"/>
          <w:highlight w:val="none"/>
        </w:rPr>
        <w:t xml:space="preserve">4.3.2　报告内容</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（1）事故发生单位的名称、地址、性质等基本情况。</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（2）事故发生的时间、地点以及事故现场情况（包括事故的类型、涉及化学品名称、状态、数量、事故范围、周围环境等）。</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（3）事故的简要经过。</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（4）事故已经造成或者可能造成的伤亡人数（包括下落不明、涉险的人数）和初步估计的直接经济损失。</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（5）已经采取的措施（包括现场已经采取的救援措施、已经赶赴和正在赶赴事故现场的领导和应急力量等）。</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（6）报告人的单位、姓名及联系电话。</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（7）其他应当报告的情况。</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76" w:name="_Toc30566"/>
      <w:bookmarkStart w:id="77" w:name="_Toc17197"/>
      <w:bookmarkStart w:id="78" w:name="_Toc30182_WPSOffice_Level2"/>
      <w:bookmarkStart w:id="79" w:name="_Toc19216"/>
      <w:bookmarkStart w:id="80" w:name="_Toc3211"/>
      <w:r>
        <w:rPr>
          <w:rFonts w:ascii="楷体" w:eastAsia="楷体" w:hAnsi="楷体" w:cs="楷体" w:hint="eastAsia"/>
          <w:b/>
          <w:color w:val="auto"/>
          <w:kern w:val="0"/>
          <w:sz w:val="32"/>
          <w:szCs w:val="32"/>
          <w:highlight w:val="none"/>
          <w:lang w:val="en-US" w:eastAsia="zh-CN"/>
        </w:rPr>
        <w:t xml:space="preserve">4.4 预测预警支持系统</w:t>
      </w:r>
      <w:bookmarkEnd w:id="76"/>
      <w:bookmarkEnd w:id="77"/>
      <w:bookmarkEnd w:id="78"/>
      <w:bookmarkEnd w:id="79"/>
      <w:bookmarkEnd w:id="80"/>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县应急救援指挥部办公室建立全县统一的危险化学品生产安全事故应急救援信息网络体系，将企业重大危险源数据库，应急救援预案，应急救援装备等全部录入系统，实现信息共享，确保应急救援行动准确、高效。</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（2）县应急救援指挥部办公室设置多种通讯方式，随时保持与乡镇应急救援指挥部、救援队伍和市应急管理局事故报警系统的联系。</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3）建立全县危险化学品生产安全事故应急救援技术专家组，为事故应急救援提供技术支持。技术专家组的职责是：参加危险化学品生产安全事故应急救援的研究和咨询活动；应急响应时，研究分析事故信息、灾害情况和救援措施，为应急决策提出意见和建议；为恢复提供技术支持。</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（4）各成员单位</w:t>
      </w:r>
      <w:r>
        <w:rPr>
          <w:rFonts w:ascii="仿宋" w:eastAsia="仿宋" w:hAnsi="仿宋" w:cs="仿宋" w:hint="eastAsia"/>
          <w:color w:val="auto"/>
          <w:kern w:val="0"/>
          <w:sz w:val="32"/>
          <w:szCs w:val="32"/>
          <w:highlight w:val="none"/>
          <w:lang w:val="en-US" w:eastAsia="zh-CN"/>
        </w:rPr>
        <w:t xml:space="preserve">应急</w:t>
      </w:r>
      <w:r>
        <w:rPr>
          <w:rFonts w:ascii="仿宋" w:eastAsia="仿宋" w:hAnsi="仿宋" w:cs="仿宋" w:hint="eastAsia"/>
          <w:color w:val="auto"/>
          <w:kern w:val="0"/>
          <w:sz w:val="32"/>
          <w:szCs w:val="32"/>
          <w:highlight w:val="none"/>
        </w:rPr>
        <w:t xml:space="preserve">值班电话必须24小时开机。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p>
    <w:p>
      <w:pPr>
        <w:widowControl/>
        <w:shd w:val="clear" w:color="auto" w:fill="FFFFFF"/>
        <w:spacing w:line="576" w:lineRule="exact"/>
        <w:jc w:val="center"/>
        <w:outlineLvl w:val="0"/>
        <w:rPr>
          <w:rFonts w:ascii="黑体" w:eastAsia="黑体" w:hAnsi="黑体" w:cs="宋体" w:hint="eastAsia"/>
          <w:color w:val="auto"/>
          <w:kern w:val="0"/>
          <w:sz w:val="32"/>
          <w:szCs w:val="32"/>
          <w:highlight w:val="none"/>
        </w:rPr>
      </w:pPr>
      <w:bookmarkStart w:id="81" w:name="_Toc16420_WPSOffice_Level1"/>
      <w:bookmarkStart w:id="82" w:name="_Toc18816"/>
      <w:bookmarkStart w:id="83" w:name="_Toc7998"/>
      <w:bookmarkStart w:id="84" w:name="_Toc446"/>
      <w:r>
        <w:rPr>
          <w:rFonts w:ascii="黑体" w:eastAsia="黑体" w:hAnsi="黑体" w:cs="宋体" w:hint="eastAsia"/>
          <w:color w:val="auto"/>
          <w:kern w:val="0"/>
          <w:sz w:val="32"/>
          <w:szCs w:val="32"/>
          <w:highlight w:val="none"/>
        </w:rPr>
        <w:t xml:space="preserve">5.应急处置</w:t>
      </w:r>
      <w:bookmarkEnd w:id="81"/>
      <w:r>
        <w:rPr>
          <w:rFonts w:ascii="黑体" w:eastAsia="黑体" w:hAnsi="黑体" w:cs="宋体" w:hint="eastAsia"/>
          <w:color w:val="auto"/>
          <w:kern w:val="0"/>
          <w:sz w:val="32"/>
          <w:szCs w:val="32"/>
          <w:highlight w:val="none"/>
        </w:rPr>
        <w:t xml:space="preserve">程序</w:t>
      </w:r>
      <w:bookmarkEnd w:id="82"/>
      <w:bookmarkEnd w:id="83"/>
      <w:bookmarkEnd w:id="84"/>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85" w:name="_Toc11011"/>
      <w:bookmarkStart w:id="86" w:name="_Toc31206"/>
      <w:bookmarkStart w:id="87" w:name="_Toc10563"/>
      <w:r>
        <w:rPr>
          <w:rFonts w:ascii="楷体" w:eastAsia="楷体" w:hAnsi="楷体" w:cs="楷体" w:hint="eastAsia"/>
          <w:b/>
          <w:color w:val="auto"/>
          <w:kern w:val="0"/>
          <w:sz w:val="32"/>
          <w:szCs w:val="32"/>
          <w:highlight w:val="none"/>
          <w:lang w:val="en-US" w:eastAsia="zh-CN"/>
        </w:rPr>
        <w:t xml:space="preserve">5.1响应主体</w:t>
      </w:r>
      <w:bookmarkEnd w:id="85"/>
      <w:bookmarkEnd w:id="86"/>
      <w:bookmarkEnd w:id="87"/>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r>
        <w:rPr>
          <w:rFonts w:ascii="仿宋" w:eastAsia="仿宋" w:hAnsi="仿宋" w:cs="仿宋" w:hint="eastAsia"/>
          <w:b/>
          <w:bCs/>
          <w:color w:val="auto"/>
          <w:kern w:val="0"/>
          <w:sz w:val="32"/>
          <w:szCs w:val="32"/>
          <w:highlight w:val="none"/>
        </w:rPr>
        <w:t xml:space="preserve">5.1.1 企业响应</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发生事故或险情时，企业应立即启动企业应急救援预案，在确保安全的前提下，采取应急处置措施抢救遇险人员，控制危险源，封锁危险场所，及时向县政府及其应急管理部门和有关部门报救援工作进展情况。</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控股（集团）公司（总公司）应为下企业的事故应急处置提供必要的及时支持。</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5.1.2 事发地乡镇人民政府响应</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发生危险化学品一般危险化学品生产安全事故后，事发地乡镇（街道）政府应根据情况，尽快成立指挥部，启动应急响应程序。组织、指挥各有关部门全力以赴进行先期处置，并及时将救援工作进展情况按有关规定上报。</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县政府成立现场指挥部时，事发地乡镇（街道）政府指挥部立即向县现场指挥部移交指挥权，并继续配合上级指挥部做好应急处置工作。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5.1.3 县政府有关监管部门响应</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县政府有关监管部门接到一般事故报告后，应立即启动本部门事故应急预案，协调、指导事故或险情发生地人民政府和下级部门做好相应救援工作，协调县级力量和其他乡镇或工业园区应急力量增援，及时向指挥部汇报救援情况，落实指挥部的决策部署。</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88" w:name="_Toc8585"/>
      <w:bookmarkStart w:id="89" w:name="_Toc1798"/>
      <w:bookmarkStart w:id="90" w:name="_Toc15543"/>
      <w:r>
        <w:rPr>
          <w:rFonts w:ascii="楷体" w:eastAsia="楷体" w:hAnsi="楷体" w:cs="楷体" w:hint="eastAsia"/>
          <w:b/>
          <w:color w:val="auto"/>
          <w:kern w:val="0"/>
          <w:sz w:val="32"/>
          <w:szCs w:val="32"/>
          <w:highlight w:val="none"/>
          <w:lang w:val="en-US" w:eastAsia="zh-CN"/>
        </w:rPr>
        <w:t xml:space="preserve">5.2响应程序</w:t>
      </w:r>
      <w:bookmarkEnd w:id="88"/>
      <w:bookmarkEnd w:id="89"/>
      <w:bookmarkEnd w:id="90"/>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（1）领导小组办公室和有关部门对事故信息会商分析，确认达到Ⅳ级应急响应条件时，立即向县领导小组申请启动本预案及县政府有关部门预案，成立指挥部，并将相关情况上报县政府和通报有关部门。</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（2）指挥部总指挥、副总指挥及各成员到位，赶赴现场，与事发地人民政府指挥部做好交接，组织、协调、指挥现场处置工作。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（3）通知有关部门做好供水、供电、交通、通信、气象、物资、资金和环境保护等保障工作。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（4）根据事故现场实际情况，组织有关专家成立专家组，根据专家组咨询情况，制订并实施现场处置的具体方案。</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（5）调动有关专业救援队伍、专家参加现场救援工作，调动有关装备、物资资源现场处置和救援工作。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sz w:val="32"/>
          <w:szCs w:val="32"/>
          <w:highlight w:val="none"/>
        </w:rPr>
      </w:pPr>
      <w:r>
        <w:rPr>
          <w:rFonts w:ascii="仿宋" w:eastAsia="仿宋" w:hAnsi="仿宋" w:cs="仿宋" w:hint="eastAsia"/>
          <w:color w:val="auto"/>
          <w:kern w:val="0"/>
          <w:sz w:val="32"/>
          <w:szCs w:val="32"/>
          <w:highlight w:val="none"/>
        </w:rPr>
        <w:t xml:space="preserve">（6）密切关注事态发展，当出现事故难以控制或有扩大发展等事态时，及时向县政府、西宁市应急管理局报告。</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91" w:name="_Toc4037_WPSOffice_Level2"/>
      <w:bookmarkStart w:id="92" w:name="_Toc2910"/>
      <w:bookmarkStart w:id="93" w:name="_Toc39"/>
      <w:bookmarkStart w:id="94" w:name="_Toc24134"/>
      <w:r>
        <w:rPr>
          <w:rFonts w:ascii="楷体" w:eastAsia="楷体" w:hAnsi="楷体" w:cs="楷体" w:hint="eastAsia"/>
          <w:b/>
          <w:color w:val="auto"/>
          <w:kern w:val="0"/>
          <w:sz w:val="32"/>
          <w:szCs w:val="32"/>
          <w:highlight w:val="none"/>
          <w:lang w:val="en-US" w:eastAsia="zh-CN"/>
        </w:rPr>
        <w:t xml:space="preserve">5.3现场应急处置</w:t>
      </w:r>
      <w:bookmarkEnd w:id="91"/>
      <w:r>
        <w:rPr>
          <w:rFonts w:ascii="楷体" w:eastAsia="楷体" w:hAnsi="楷体" w:cs="楷体" w:hint="eastAsia"/>
          <w:b/>
          <w:color w:val="auto"/>
          <w:kern w:val="0"/>
          <w:sz w:val="32"/>
          <w:szCs w:val="32"/>
          <w:highlight w:val="none"/>
          <w:lang w:val="en-US" w:eastAsia="zh-CN"/>
        </w:rPr>
        <w:t xml:space="preserve">方案</w:t>
      </w:r>
      <w:bookmarkEnd w:id="92"/>
      <w:bookmarkEnd w:id="93"/>
      <w:bookmarkEnd w:id="94"/>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危险化学品生产安全事故的一般处置方案和不同事故类型处置要点分别如下：</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r>
        <w:rPr>
          <w:rFonts w:ascii="仿宋" w:eastAsia="仿宋" w:hAnsi="仿宋" w:cs="仿宋" w:hint="eastAsia"/>
          <w:b/>
          <w:bCs/>
          <w:color w:val="auto"/>
          <w:kern w:val="0"/>
          <w:sz w:val="32"/>
          <w:szCs w:val="32"/>
          <w:highlight w:val="none"/>
        </w:rPr>
        <w:t xml:space="preserve">5.3.1 需要及时了解的事故现场情况</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主要包括（但不限于）下列内容：</w:t>
      </w:r>
    </w:p>
    <w:p>
      <w:pPr>
        <w:keepNext w:val="0"/>
        <w:keepLines w:val="0"/>
        <w:pageBreakBefore w:val="0"/>
        <w:widowControl/>
        <w:numPr>
          <w:ilvl w:val="0"/>
          <w:numId w:val="57"/>
        </w:numPr>
        <w:shd w:val="clear" w:color="auto" w:fill="FFFFFF"/>
        <w:kinsoku/>
        <w:wordWrap/>
        <w:overflowPunct/>
        <w:topLinePunct w:val="0"/>
        <w:autoSpaceDE/>
        <w:autoSpaceDN/>
        <w:bidi w:val="0"/>
        <w:adjustRightInd/>
        <w:snapToGrid/>
        <w:spacing w:line="576" w:lineRule="exact"/>
        <w:ind w:left="0" w:firstLine="635"/>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遇险人员伤亡、失踪、被困等等情况。</w:t>
      </w:r>
    </w:p>
    <w:p>
      <w:pPr>
        <w:keepNext w:val="0"/>
        <w:keepLines w:val="0"/>
        <w:pageBreakBefore w:val="0"/>
        <w:widowControl/>
        <w:numPr>
          <w:ilvl w:val="0"/>
          <w:numId w:val="57"/>
        </w:numPr>
        <w:shd w:val="clear" w:color="auto" w:fill="FFFFFF"/>
        <w:kinsoku/>
        <w:wordWrap/>
        <w:overflowPunct/>
        <w:topLinePunct w:val="0"/>
        <w:autoSpaceDE/>
        <w:autoSpaceDN/>
        <w:bidi w:val="0"/>
        <w:adjustRightInd/>
        <w:snapToGrid/>
        <w:spacing w:line="576" w:lineRule="exact"/>
        <w:ind w:left="0" w:firstLine="635"/>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事故类型、危险化学品的危害特性、数量及应急处置方法等信息。</w:t>
      </w:r>
    </w:p>
    <w:p>
      <w:pPr>
        <w:keepNext w:val="0"/>
        <w:keepLines w:val="0"/>
        <w:pageBreakBefore w:val="0"/>
        <w:widowControl/>
        <w:numPr>
          <w:ilvl w:val="0"/>
          <w:numId w:val="57"/>
        </w:numPr>
        <w:shd w:val="clear" w:color="auto" w:fill="FFFFFF"/>
        <w:kinsoku/>
        <w:wordWrap/>
        <w:overflowPunct/>
        <w:topLinePunct w:val="0"/>
        <w:autoSpaceDE/>
        <w:autoSpaceDN/>
        <w:bidi w:val="0"/>
        <w:adjustRightInd/>
        <w:snapToGrid/>
        <w:spacing w:line="576" w:lineRule="exact"/>
        <w:ind w:left="0" w:firstLine="635"/>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现场周边建筑物、居民、地形、敏感目标及可利用资源等情况。</w:t>
      </w:r>
    </w:p>
    <w:p>
      <w:pPr>
        <w:keepNext w:val="0"/>
        <w:keepLines w:val="0"/>
        <w:pageBreakBefore w:val="0"/>
        <w:widowControl/>
        <w:numPr>
          <w:ilvl w:val="0"/>
          <w:numId w:val="57"/>
        </w:numPr>
        <w:shd w:val="clear" w:color="auto" w:fill="FFFFFF"/>
        <w:kinsoku/>
        <w:wordWrap/>
        <w:overflowPunct/>
        <w:topLinePunct w:val="0"/>
        <w:autoSpaceDE/>
        <w:autoSpaceDN/>
        <w:bidi w:val="0"/>
        <w:adjustRightInd/>
        <w:snapToGrid/>
        <w:spacing w:line="576" w:lineRule="exact"/>
        <w:ind w:left="0" w:firstLine="635"/>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事发地风速、风向等气象信息。</w:t>
      </w:r>
    </w:p>
    <w:p>
      <w:pPr>
        <w:keepNext w:val="0"/>
        <w:keepLines w:val="0"/>
        <w:pageBreakBefore w:val="0"/>
        <w:widowControl/>
        <w:numPr>
          <w:ilvl w:val="0"/>
          <w:numId w:val="57"/>
        </w:numPr>
        <w:shd w:val="clear" w:color="auto" w:fill="FFFFFF"/>
        <w:kinsoku/>
        <w:wordWrap/>
        <w:overflowPunct/>
        <w:topLinePunct w:val="0"/>
        <w:autoSpaceDE/>
        <w:autoSpaceDN/>
        <w:bidi w:val="0"/>
        <w:adjustRightInd/>
        <w:snapToGrid/>
        <w:spacing w:line="576" w:lineRule="exact"/>
        <w:ind w:left="0" w:firstLine="635"/>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事故可能导致的后果及对周围区域的可能影响范围和危害程度。</w:t>
      </w:r>
    </w:p>
    <w:p>
      <w:pPr>
        <w:keepNext w:val="0"/>
        <w:keepLines w:val="0"/>
        <w:pageBreakBefore w:val="0"/>
        <w:widowControl/>
        <w:numPr>
          <w:ilvl w:val="0"/>
          <w:numId w:val="57"/>
        </w:numPr>
        <w:shd w:val="clear" w:color="auto" w:fill="FFFFFF"/>
        <w:kinsoku/>
        <w:wordWrap/>
        <w:overflowPunct/>
        <w:topLinePunct w:val="0"/>
        <w:autoSpaceDE/>
        <w:autoSpaceDN/>
        <w:bidi w:val="0"/>
        <w:adjustRightInd/>
        <w:snapToGrid/>
        <w:spacing w:line="576" w:lineRule="exact"/>
        <w:ind w:left="0" w:firstLine="635"/>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应急救援装备、物资、器材、队伍等应急力量情况。</w:t>
      </w:r>
    </w:p>
    <w:p>
      <w:pPr>
        <w:keepNext w:val="0"/>
        <w:keepLines w:val="0"/>
        <w:pageBreakBefore w:val="0"/>
        <w:widowControl/>
        <w:numPr>
          <w:ilvl w:val="0"/>
          <w:numId w:val="57"/>
        </w:numPr>
        <w:shd w:val="clear" w:color="auto" w:fill="FFFFFF"/>
        <w:kinsoku/>
        <w:wordWrap/>
        <w:overflowPunct/>
        <w:topLinePunct w:val="0"/>
        <w:autoSpaceDE/>
        <w:autoSpaceDN/>
        <w:bidi w:val="0"/>
        <w:adjustRightInd/>
        <w:snapToGrid/>
        <w:spacing w:line="576" w:lineRule="exact"/>
        <w:ind w:left="0" w:firstLine="635"/>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涉及危险化学品安全生产控制的装置、设备、设施等状况。</w:t>
      </w:r>
    </w:p>
    <w:p>
      <w:pPr>
        <w:keepNext w:val="0"/>
        <w:keepLines w:val="0"/>
        <w:pageBreakBefore w:val="0"/>
        <w:widowControl/>
        <w:numPr>
          <w:ilvl w:val="0"/>
          <w:numId w:val="57"/>
        </w:numPr>
        <w:shd w:val="clear" w:color="auto" w:fill="FFFFFF"/>
        <w:kinsoku/>
        <w:wordWrap/>
        <w:overflowPunct/>
        <w:topLinePunct w:val="0"/>
        <w:autoSpaceDE/>
        <w:autoSpaceDN/>
        <w:bidi w:val="0"/>
        <w:adjustRightInd/>
        <w:snapToGrid/>
        <w:spacing w:line="576" w:lineRule="exact"/>
        <w:ind w:left="0" w:firstLine="635"/>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其他情况。</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r>
        <w:rPr>
          <w:rFonts w:ascii="仿宋" w:eastAsia="仿宋" w:hAnsi="仿宋" w:cs="仿宋" w:hint="eastAsia"/>
          <w:b/>
          <w:bCs/>
          <w:color w:val="auto"/>
          <w:kern w:val="0"/>
          <w:sz w:val="32"/>
          <w:szCs w:val="32"/>
          <w:highlight w:val="none"/>
        </w:rPr>
        <w:t xml:space="preserve">5.3.2 一般处置方案</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发生危险化学品生产安全事故，指挥部应尽可能采取（但不限于）以下一项或多项基本应急处置措施。</w:t>
      </w:r>
    </w:p>
    <w:p>
      <w:pPr>
        <w:keepNext w:val="0"/>
        <w:keepLines w:val="0"/>
        <w:pageBreakBefore w:val="0"/>
        <w:widowControl/>
        <w:numPr>
          <w:ilvl w:val="0"/>
          <w:numId w:val="58"/>
        </w:numPr>
        <w:shd w:val="clear" w:color="auto" w:fill="FFFFFF"/>
        <w:kinsoku/>
        <w:wordWrap/>
        <w:overflowPunct/>
        <w:topLinePunct w:val="0"/>
        <w:autoSpaceDE/>
        <w:autoSpaceDN/>
        <w:bidi w:val="0"/>
        <w:adjustRightInd/>
        <w:snapToGrid/>
        <w:spacing w:line="576" w:lineRule="exact"/>
        <w:ind w:left="0" w:firstLine="635"/>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保卫警戒：根据危险化学品火灾、爆炸、泄漏事故所涉及的范围或参照《重点监管危险化学品安全措施和应急处置原则》的规定，设置隔离区并实施警戒，确定疏散区范围，通往事故现场的道路实施交通管制，确保应急救援通道畅通。</w:t>
      </w:r>
    </w:p>
    <w:p>
      <w:pPr>
        <w:keepNext w:val="0"/>
        <w:keepLines w:val="0"/>
        <w:pageBreakBefore w:val="0"/>
        <w:widowControl/>
        <w:numPr>
          <w:ilvl w:val="0"/>
          <w:numId w:val="58"/>
        </w:numPr>
        <w:shd w:val="clear" w:color="auto" w:fill="FFFFFF"/>
        <w:kinsoku/>
        <w:wordWrap/>
        <w:overflowPunct/>
        <w:topLinePunct w:val="0"/>
        <w:autoSpaceDE/>
        <w:autoSpaceDN/>
        <w:bidi w:val="0"/>
        <w:adjustRightInd/>
        <w:snapToGrid/>
        <w:spacing w:line="576" w:lineRule="exact"/>
        <w:ind w:left="0" w:firstLine="635"/>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应急疏散：撤离隔离区内与事故应急处置无关的人员，组织疏散区域内的群众疏散到安全区域。</w:t>
      </w:r>
    </w:p>
    <w:p>
      <w:pPr>
        <w:keepNext w:val="0"/>
        <w:keepLines w:val="0"/>
        <w:pageBreakBefore w:val="0"/>
        <w:widowControl/>
        <w:numPr>
          <w:ilvl w:val="0"/>
          <w:numId w:val="58"/>
        </w:numPr>
        <w:shd w:val="clear" w:color="auto" w:fill="FFFFFF"/>
        <w:kinsoku/>
        <w:wordWrap/>
        <w:overflowPunct/>
        <w:topLinePunct w:val="0"/>
        <w:autoSpaceDE/>
        <w:autoSpaceDN/>
        <w:bidi w:val="0"/>
        <w:adjustRightInd/>
        <w:snapToGrid/>
        <w:spacing w:line="576" w:lineRule="exact"/>
        <w:ind w:left="0" w:firstLine="635"/>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现场检测：做好事故现场的监测工作，根据监测信息，及时调整事故处置方案。</w:t>
      </w:r>
    </w:p>
    <w:p>
      <w:pPr>
        <w:keepNext w:val="0"/>
        <w:keepLines w:val="0"/>
        <w:pageBreakBefore w:val="0"/>
        <w:widowControl/>
        <w:numPr>
          <w:ilvl w:val="0"/>
          <w:numId w:val="58"/>
        </w:numPr>
        <w:shd w:val="clear" w:color="auto" w:fill="FFFFFF"/>
        <w:kinsoku/>
        <w:wordWrap/>
        <w:overflowPunct/>
        <w:topLinePunct w:val="0"/>
        <w:autoSpaceDE/>
        <w:autoSpaceDN/>
        <w:bidi w:val="0"/>
        <w:adjustRightInd/>
        <w:snapToGrid/>
        <w:spacing w:line="576" w:lineRule="exact"/>
        <w:ind w:left="0" w:firstLine="635"/>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现场抢险救援：根据不同事故类型，应有相应专业性的应急队伍开展现场处置工作，应急处置人员应根据事故特点和事故引发物质的不同特点，采取不同的防护措施。</w:t>
      </w:r>
    </w:p>
    <w:p>
      <w:pPr>
        <w:keepNext w:val="0"/>
        <w:keepLines w:val="0"/>
        <w:pageBreakBefore w:val="0"/>
        <w:widowControl/>
        <w:numPr>
          <w:ilvl w:val="0"/>
          <w:numId w:val="58"/>
        </w:numPr>
        <w:shd w:val="clear" w:color="auto" w:fill="FFFFFF"/>
        <w:kinsoku/>
        <w:wordWrap/>
        <w:overflowPunct/>
        <w:topLinePunct w:val="0"/>
        <w:autoSpaceDE/>
        <w:autoSpaceDN/>
        <w:bidi w:val="0"/>
        <w:adjustRightInd/>
        <w:snapToGrid/>
        <w:spacing w:line="576" w:lineRule="exact"/>
        <w:ind w:left="0" w:firstLine="635"/>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医疗救护：设置临时医疗急救区（点），对现场人员进行现场急救，分类后护送相应医院实施深度治疗。</w:t>
      </w:r>
    </w:p>
    <w:p>
      <w:pPr>
        <w:keepNext w:val="0"/>
        <w:keepLines w:val="0"/>
        <w:pageBreakBefore w:val="0"/>
        <w:widowControl/>
        <w:numPr>
          <w:ilvl w:val="0"/>
          <w:numId w:val="58"/>
        </w:numPr>
        <w:shd w:val="clear" w:color="auto" w:fill="FFFFFF"/>
        <w:kinsoku/>
        <w:wordWrap/>
        <w:overflowPunct/>
        <w:topLinePunct w:val="0"/>
        <w:autoSpaceDE/>
        <w:autoSpaceDN/>
        <w:bidi w:val="0"/>
        <w:adjustRightInd/>
        <w:snapToGrid/>
        <w:spacing w:line="576" w:lineRule="exact"/>
        <w:ind w:left="0" w:firstLine="635"/>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应急保障：抢修被损坏的交通、通信、供水、供电、供气、供热等公共设施，向受影响的人员提供避难场所和生活必需品以及其他保障措施。</w:t>
      </w:r>
    </w:p>
    <w:p>
      <w:pPr>
        <w:keepNext w:val="0"/>
        <w:keepLines w:val="0"/>
        <w:pageBreakBefore w:val="0"/>
        <w:widowControl/>
        <w:numPr>
          <w:ilvl w:val="0"/>
          <w:numId w:val="58"/>
        </w:numPr>
        <w:shd w:val="clear" w:color="auto" w:fill="FFFFFF"/>
        <w:kinsoku/>
        <w:wordWrap/>
        <w:overflowPunct/>
        <w:topLinePunct w:val="0"/>
        <w:autoSpaceDE/>
        <w:autoSpaceDN/>
        <w:bidi w:val="0"/>
        <w:adjustRightInd/>
        <w:snapToGrid/>
        <w:spacing w:line="576" w:lineRule="exact"/>
        <w:ind w:left="0" w:firstLine="635"/>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洗消和现场清理：设立洗消站，对所有染毒人员、工具、装备进行洗消，事故现场各处残留泄漏物和洗消污水应统一收集并无害化处理。</w:t>
      </w:r>
    </w:p>
    <w:p>
      <w:pPr>
        <w:keepNext w:val="0"/>
        <w:keepLines w:val="0"/>
        <w:pageBreakBefore w:val="0"/>
        <w:widowControl/>
        <w:numPr>
          <w:ilvl w:val="0"/>
          <w:numId w:val="58"/>
        </w:numPr>
        <w:shd w:val="clear" w:color="auto" w:fill="FFFFFF"/>
        <w:kinsoku/>
        <w:wordWrap/>
        <w:overflowPunct/>
        <w:topLinePunct w:val="0"/>
        <w:autoSpaceDE/>
        <w:autoSpaceDN/>
        <w:bidi w:val="0"/>
        <w:adjustRightInd/>
        <w:snapToGrid/>
        <w:spacing w:line="576" w:lineRule="exact"/>
        <w:ind w:left="0" w:firstLine="635"/>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现场安全保障：处置现场应设置安全员，全程观察、监测现场，遇到突发情况危及救援人员生命安全时，救援队伍指挥员有权决定暂时停止应急处置，迅速带领救援人员撤出危险区域，并及时报告指挥部，在事故现场得以控制、导致次生衍生事故隐患消除后，经指挥部组织研究，确定符合继续施救条件时，再行组织施救，直到救援任务完成。</w:t>
      </w:r>
    </w:p>
    <w:p>
      <w:pPr>
        <w:keepNext w:val="0"/>
        <w:keepLines w:val="0"/>
        <w:pageBreakBefore w:val="0"/>
        <w:widowControl/>
        <w:numPr>
          <w:ilvl w:val="0"/>
          <w:numId w:val="58"/>
        </w:numPr>
        <w:shd w:val="clear" w:color="auto" w:fill="FFFFFF"/>
        <w:kinsoku/>
        <w:wordWrap/>
        <w:overflowPunct/>
        <w:topLinePunct w:val="0"/>
        <w:autoSpaceDE/>
        <w:autoSpaceDN/>
        <w:bidi w:val="0"/>
        <w:adjustRightInd/>
        <w:snapToGrid/>
        <w:spacing w:line="576" w:lineRule="exact"/>
        <w:ind w:left="0" w:firstLine="635"/>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其他注意事项：在易燃易爆危险化学品生产安全事故现场，应禁止或限制使用能够产生点火源的有关设备、设施，关闭或限制使用有关场所，终止人员密集的活动或者可能导致危害扩大的生产经营活动以及采取其他保护措施。</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r>
        <w:rPr>
          <w:rFonts w:ascii="仿宋" w:eastAsia="仿宋" w:hAnsi="仿宋" w:cs="仿宋" w:hint="eastAsia"/>
          <w:b/>
          <w:bCs/>
          <w:color w:val="auto"/>
          <w:kern w:val="0"/>
          <w:sz w:val="32"/>
          <w:szCs w:val="32"/>
          <w:highlight w:val="none"/>
        </w:rPr>
        <w:t xml:space="preserve">5.3.3 不同类型事故现场处置要点</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r>
        <w:rPr>
          <w:rFonts w:ascii="仿宋" w:eastAsia="仿宋" w:hAnsi="仿宋" w:cs="仿宋" w:hint="eastAsia"/>
          <w:b/>
          <w:bCs/>
          <w:color w:val="auto"/>
          <w:kern w:val="0"/>
          <w:sz w:val="32"/>
          <w:szCs w:val="32"/>
          <w:highlight w:val="none"/>
        </w:rPr>
        <w:t xml:space="preserve">5.3.3.1 火灾事故现场处置要点</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（1）了解事故现场状况，控制潜在风险源，控制火灾对周边敏感目标的可能影响。</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（2）调集消防救援、专业应急救援队伍、专家等救援力量赶赴现场。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（3）组织企业、专家级各应急救援队伍，根据事故特点及危险化学品的性质，选择合适的灭火方法，控制和实施火灾扑救方案。</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（4）注意配备必要的个体防护装备。出现意外情况时，立即撤离救援人员。</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（5）实时监测风向、风速、周边环境及风险源控制条件变化情况，及时评估火势发展态势。救援队伍指挥员要将现场事态的发展及处置行动进展情况及时报告指挥部。指挥部根据事态的发展及时调整处置方案。</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r>
        <w:rPr>
          <w:rFonts w:ascii="仿宋" w:eastAsia="仿宋" w:hAnsi="仿宋" w:cs="仿宋" w:hint="eastAsia"/>
          <w:b/>
          <w:bCs/>
          <w:color w:val="auto"/>
          <w:kern w:val="0"/>
          <w:sz w:val="32"/>
          <w:szCs w:val="32"/>
          <w:highlight w:val="none"/>
        </w:rPr>
        <w:t xml:space="preserve">5.3.3.2 爆炸事故现场处置要点</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（1）确定爆炸发生位置及引起爆炸的物质类别及爆炸类型（物理爆炸、化学爆炸），以及爆炸地点危险化学品的残留情况及周围环境，初步判断是否存在第二次爆炸和次生火灾、中毒事故的可能性。</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（2）发生物理爆炸时重点关注爆炸现场相邻装置的运行情况；发生化学爆炸须关注现场点火源的情况，现场监测组加强事故现场的易燃易爆气体浓度及气象条件的监测。</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（3）确定应急要求，调集应急救援力量调集响应的消防应急队伍、企业应急救援队伍、专业应急救援队伍、专家等救援力量赶赴现场。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（4）组织企业、专家及各应急救援队伍根据事故特性、化学品的性质、现场气气体浓度及爆炸源的情况确定是否有二次爆炸的危险，确定应采取的处置措施。</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（5）制定并实施现场处置方案。</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（6）处置人员应配备必要的个体防护装备。出现意外情况时，立即撤离。</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（7）各救援队伍要将现场事态的发展及处置行动进展情况及时报告指挥部。指挥部根据事态的发展及时调整处置方案。</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5.3.3.3 易燃、易爆、有毒物质泄漏事故现场处置要点</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（1）确定泄漏的危险化学品种类及性质（沸点、闪点、爆炸极限、毒性等）、泄漏源的位置及泄漏源的周围环境情况，明确泄漏可能导致的后果（泄漏是否可能引起火灾、爆炸、中毒等）。</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（2）根据危险化学品泄漏事故所涉及的范围和《重点监管危险化学品安全措施和应急处置原则》的规定，确定警戒和疏散范围，设立警戒标志，撤离警戒区无关人员，疏散周边群众。</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（3）调集相应的消防救援大队伍、企业应急救援队伍、专业应急救援队伍、防化兵部队、专家等救援力量赶赴现场。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（4）加强事故现场大气、下水道、地坑、暗井等场所易燃、易爆、有毒物质浓度浓度监测。做好潜在危险源消除措施。要特别注意避免泄漏易燃液体随水流扩散。</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（5）根据事故现场实际或估算的泄漏量，预测泄漏扩散趋势，确定主要的控制措施（如堵漏、工程抢险、人员疏散、医疗救护等）。</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（6）根据泄漏事故特性、化学品的性质，制定和实施现场处置方案。</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（7）处置人员应配备必要的个体防护装备。出现意外情况时，立即撤离。</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sz w:val="32"/>
          <w:szCs w:val="32"/>
          <w:highlight w:val="none"/>
        </w:rPr>
      </w:pPr>
      <w:r>
        <w:rPr>
          <w:rFonts w:ascii="仿宋" w:eastAsia="仿宋" w:hAnsi="仿宋" w:cs="仿宋" w:hint="eastAsia"/>
          <w:color w:val="auto"/>
          <w:kern w:val="0"/>
          <w:sz w:val="32"/>
          <w:szCs w:val="32"/>
          <w:highlight w:val="none"/>
        </w:rPr>
        <w:t xml:space="preserve">（8）各救援队伍要将现场事态的发展及处置行动进展情况及时报告指挥部。指挥部根据事态的发展及时调整处置方案。</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95" w:name="_Toc29409"/>
      <w:bookmarkStart w:id="96" w:name="_Toc7162_WPSOffice_Level2"/>
      <w:bookmarkStart w:id="97" w:name="_Toc4647"/>
      <w:bookmarkStart w:id="98" w:name="_Toc21637"/>
      <w:bookmarkStart w:id="99" w:name="_Toc10008"/>
      <w:r>
        <w:rPr>
          <w:rFonts w:ascii="楷体" w:eastAsia="楷体" w:hAnsi="楷体" w:cs="楷体" w:hint="eastAsia"/>
          <w:b/>
          <w:color w:val="auto"/>
          <w:kern w:val="0"/>
          <w:sz w:val="32"/>
          <w:szCs w:val="32"/>
          <w:highlight w:val="none"/>
          <w:lang w:val="en-US" w:eastAsia="zh-CN"/>
        </w:rPr>
        <w:t xml:space="preserve">5.4应急人员的安全防护</w:t>
      </w:r>
      <w:bookmarkEnd w:id="95"/>
      <w:bookmarkEnd w:id="96"/>
      <w:bookmarkEnd w:id="97"/>
      <w:bookmarkEnd w:id="98"/>
      <w:bookmarkEnd w:id="99"/>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现场应急救援人员应根据危险化学品生产安全事故现场实际情况携带相应的专业防护装备，采取安全防护措施，严格执行应急救援人员进入和离开事故现场的相关规定。</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现场应急指挥部根据需要具体协调、调整相应的安全防护装备。</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100" w:name="_Toc5590"/>
      <w:bookmarkStart w:id="101" w:name="_Toc21747"/>
      <w:bookmarkStart w:id="102" w:name="_Toc20363_WPSOffice_Level2"/>
      <w:bookmarkStart w:id="103" w:name="_Toc2015"/>
      <w:bookmarkStart w:id="104" w:name="_Toc13646"/>
      <w:r>
        <w:rPr>
          <w:rFonts w:ascii="楷体" w:eastAsia="楷体" w:hAnsi="楷体" w:cs="楷体" w:hint="eastAsia"/>
          <w:b/>
          <w:color w:val="auto"/>
          <w:kern w:val="0"/>
          <w:sz w:val="32"/>
          <w:szCs w:val="32"/>
          <w:highlight w:val="none"/>
          <w:lang w:val="en-US" w:eastAsia="zh-CN"/>
        </w:rPr>
        <w:t xml:space="preserve">5.5群众的安全防护</w:t>
      </w:r>
      <w:bookmarkEnd w:id="100"/>
      <w:bookmarkEnd w:id="101"/>
      <w:bookmarkEnd w:id="102"/>
      <w:bookmarkEnd w:id="103"/>
      <w:bookmarkEnd w:id="104"/>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现场应急指挥部负责组织群众的安全防护工作，主要工作内容如下：</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（1）企业应与县政府、社区建立应急互动机制，采取防护措施确保群众安全。</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（2）决定应急状态下群众疏散、转移和安置的方式、范围、路线、程序。</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（3）指定有关部门负责实施疏散、转移。</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（4）启用避难场所。</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（5）开展医疗防疫和疾病控制工作。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（6）负责治安管理。</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105" w:name="_Toc16017"/>
      <w:bookmarkStart w:id="106" w:name="_Toc15674_WPSOffice_Level2"/>
      <w:bookmarkStart w:id="107" w:name="_Toc3911"/>
      <w:bookmarkStart w:id="108" w:name="_Toc3673"/>
      <w:bookmarkStart w:id="109" w:name="_Toc22615"/>
      <w:r>
        <w:rPr>
          <w:rFonts w:ascii="楷体" w:eastAsia="楷体" w:hAnsi="楷体" w:cs="楷体" w:hint="eastAsia"/>
          <w:b/>
          <w:color w:val="auto"/>
          <w:kern w:val="0"/>
          <w:sz w:val="32"/>
          <w:szCs w:val="32"/>
          <w:highlight w:val="none"/>
          <w:lang w:val="en-US" w:eastAsia="zh-CN"/>
        </w:rPr>
        <w:t xml:space="preserve">5.7社会力量的动员与参与</w:t>
      </w:r>
      <w:bookmarkEnd w:id="105"/>
      <w:bookmarkEnd w:id="106"/>
      <w:bookmarkEnd w:id="107"/>
      <w:bookmarkEnd w:id="108"/>
      <w:bookmarkEnd w:id="109"/>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根据危险化学品生产安全事故的性质、危害程度和范围，广泛调动社会力量参与事故处置，紧急情况下可依法征用、调用车辆、物资、人员等。</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危险化学品生产安全事故发生后，根据应急救援需要组织各方面力量开展应急处置工作，组织基层单位或邻县（区、市）组织和动员社会力量，对事发现场提供援助。</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110" w:name="_Toc235"/>
      <w:bookmarkStart w:id="111" w:name="_Toc28578"/>
      <w:bookmarkStart w:id="112" w:name="_Toc26679_WPSOffice_Level2"/>
      <w:bookmarkStart w:id="113" w:name="_Toc16875"/>
      <w:bookmarkStart w:id="114" w:name="_Toc17803"/>
      <w:r>
        <w:rPr>
          <w:rFonts w:ascii="楷体" w:eastAsia="楷体" w:hAnsi="楷体" w:cs="楷体" w:hint="eastAsia"/>
          <w:b/>
          <w:color w:val="auto"/>
          <w:kern w:val="0"/>
          <w:sz w:val="32"/>
          <w:szCs w:val="32"/>
          <w:highlight w:val="none"/>
          <w:lang w:val="en-US" w:eastAsia="zh-CN"/>
        </w:rPr>
        <w:t xml:space="preserve">5.8 应急终止</w:t>
      </w:r>
      <w:bookmarkEnd w:id="110"/>
      <w:bookmarkEnd w:id="111"/>
      <w:bookmarkEnd w:id="112"/>
      <w:bookmarkEnd w:id="113"/>
      <w:bookmarkEnd w:id="114"/>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当遇险人员全部得救，事故现场得以控制，环境符合有关标准，导致次生、衍生事故隐患消除后，经现场应急指挥部确认并报县政府批准，现场应急处置工作结束，应急救援队伍撤离现场，由县政府宣布应急结束。</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因客观条件导致无法实施救援，经专家组论证并做好相关防护工作的基础上，现场应急救援指挥部提出终止救援的意见，由县政府宣布应急结束。</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115" w:name="_Toc9102_WPSOffice_Level2"/>
      <w:bookmarkStart w:id="116" w:name="_Toc25748"/>
      <w:bookmarkStart w:id="117" w:name="_Toc31603"/>
      <w:bookmarkStart w:id="118" w:name="_Toc20348"/>
      <w:r>
        <w:rPr>
          <w:rFonts w:ascii="楷体" w:eastAsia="楷体" w:hAnsi="楷体" w:cs="楷体" w:hint="eastAsia"/>
          <w:b/>
          <w:color w:val="auto"/>
          <w:kern w:val="0"/>
          <w:sz w:val="32"/>
          <w:szCs w:val="32"/>
          <w:highlight w:val="none"/>
          <w:lang w:val="en-US" w:eastAsia="zh-CN"/>
        </w:rPr>
        <w:t xml:space="preserve">5.9信息发布</w:t>
      </w:r>
      <w:bookmarkEnd w:id="115"/>
      <w:bookmarkEnd w:id="116"/>
      <w:bookmarkEnd w:id="117"/>
      <w:bookmarkEnd w:id="118"/>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县委宣传部负责协调一般危险化学品生产安全事故信息对外发布，较大及以上危险化学品生产安全事故的信息</w:t>
      </w:r>
      <w:r>
        <w:rPr>
          <w:rFonts w:ascii="仿宋" w:eastAsia="仿宋" w:hAnsi="仿宋" w:cs="仿宋" w:hint="eastAsia"/>
          <w:color w:val="auto"/>
          <w:kern w:val="0"/>
          <w:sz w:val="32"/>
          <w:szCs w:val="32"/>
          <w:highlight w:val="none"/>
          <w:lang w:val="en-US" w:eastAsia="zh-CN"/>
        </w:rPr>
        <w:t xml:space="preserve">由</w:t>
      </w:r>
      <w:r>
        <w:rPr>
          <w:rFonts w:ascii="仿宋" w:eastAsia="仿宋" w:hAnsi="仿宋" w:cs="仿宋" w:hint="eastAsia"/>
          <w:color w:val="auto"/>
          <w:kern w:val="0"/>
          <w:sz w:val="32"/>
          <w:szCs w:val="32"/>
          <w:highlight w:val="none"/>
        </w:rPr>
        <w:t xml:space="preserve">县政府上报市人民政府，由</w:t>
      </w:r>
      <w:r>
        <w:rPr>
          <w:rFonts w:ascii="仿宋" w:eastAsia="仿宋" w:hAnsi="仿宋" w:cs="仿宋" w:hint="eastAsia"/>
          <w:color w:val="auto"/>
          <w:kern w:val="0"/>
          <w:sz w:val="32"/>
          <w:szCs w:val="32"/>
          <w:highlight w:val="none"/>
          <w:lang w:val="en-US" w:eastAsia="zh-CN"/>
        </w:rPr>
        <w:t xml:space="preserve">市</w:t>
      </w:r>
      <w:r>
        <w:rPr>
          <w:rFonts w:ascii="仿宋" w:eastAsia="仿宋" w:hAnsi="仿宋" w:cs="仿宋" w:hint="eastAsia"/>
          <w:color w:val="auto"/>
          <w:kern w:val="0"/>
          <w:sz w:val="32"/>
          <w:szCs w:val="32"/>
          <w:highlight w:val="none"/>
        </w:rPr>
        <w:t xml:space="preserve">人民政府负责</w:t>
      </w:r>
      <w:r>
        <w:rPr>
          <w:rFonts w:ascii="仿宋" w:eastAsia="仿宋" w:hAnsi="仿宋" w:cs="仿宋" w:hint="eastAsia"/>
          <w:color w:val="auto"/>
          <w:kern w:val="0"/>
          <w:sz w:val="32"/>
          <w:szCs w:val="32"/>
          <w:highlight w:val="none"/>
          <w:lang w:val="en-US" w:eastAsia="zh-CN"/>
        </w:rPr>
        <w:t xml:space="preserve">统一</w:t>
      </w:r>
      <w:r>
        <w:rPr>
          <w:rFonts w:ascii="仿宋" w:eastAsia="仿宋" w:hAnsi="仿宋" w:cs="仿宋" w:hint="eastAsia"/>
          <w:color w:val="auto"/>
          <w:kern w:val="0"/>
          <w:sz w:val="32"/>
          <w:szCs w:val="32"/>
          <w:highlight w:val="none"/>
        </w:rPr>
        <w:t xml:space="preserve">对外发布。</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（1）危险化学品生产安全事故的信息发布要及时、准确、客观、全面。灾情公布，由县政府办公室、县委宣传部等有关单位按规定办理。</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信息发布主要内容包括：危险化学品生产安全事故的种类及其次生、衍生灾害的监测和预警情况；事故发生时间、地点、人员伤亡（包括下落不明人数）和财产损失情况、救援进展情况、事故区域交通管制情况及临时交通措施；事故责任单位基本情况等。</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（3）信息发布形式主要包括：权威发布、提供新闻稿、组织报道、接受记者采访、举行新闻发布会等。</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p>
    <w:p>
      <w:pPr>
        <w:widowControl/>
        <w:shd w:val="clear" w:color="auto" w:fill="FFFFFF"/>
        <w:spacing w:line="576" w:lineRule="exact"/>
        <w:jc w:val="center"/>
        <w:outlineLvl w:val="0"/>
        <w:rPr>
          <w:rFonts w:ascii="黑体" w:eastAsia="黑体" w:hAnsi="黑体" w:cs="宋体" w:hint="eastAsia"/>
          <w:color w:val="auto"/>
          <w:kern w:val="0"/>
          <w:sz w:val="32"/>
          <w:szCs w:val="32"/>
          <w:highlight w:val="none"/>
        </w:rPr>
      </w:pPr>
      <w:bookmarkStart w:id="119" w:name="_Toc6836"/>
      <w:bookmarkStart w:id="120" w:name="_Toc19856_WPSOffice_Level1"/>
      <w:bookmarkStart w:id="121" w:name="_Toc6177"/>
      <w:bookmarkStart w:id="122" w:name="_Toc30255"/>
      <w:bookmarkStart w:id="123" w:name="_Toc14433"/>
      <w:r>
        <w:rPr>
          <w:rFonts w:ascii="黑体" w:eastAsia="黑体" w:hAnsi="黑体" w:cs="宋体" w:hint="eastAsia"/>
          <w:color w:val="auto"/>
          <w:kern w:val="0"/>
          <w:sz w:val="32"/>
          <w:szCs w:val="32"/>
          <w:highlight w:val="none"/>
        </w:rPr>
        <w:t xml:space="preserve">6.后期处置</w:t>
      </w:r>
      <w:bookmarkEnd w:id="119"/>
      <w:bookmarkEnd w:id="120"/>
      <w:bookmarkEnd w:id="121"/>
      <w:bookmarkEnd w:id="122"/>
      <w:bookmarkEnd w:id="123"/>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bookmarkStart w:id="124" w:name="_Toc26331"/>
      <w:bookmarkStart w:id="125" w:name="_Toc13136_WPSOffice_Level2"/>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126" w:name="_Toc15825"/>
      <w:bookmarkStart w:id="127" w:name="_Toc707"/>
      <w:bookmarkStart w:id="128" w:name="_Toc25553"/>
      <w:r>
        <w:rPr>
          <w:rFonts w:ascii="楷体" w:eastAsia="楷体" w:hAnsi="楷体" w:cs="楷体" w:hint="eastAsia"/>
          <w:b/>
          <w:color w:val="auto"/>
          <w:kern w:val="0"/>
          <w:sz w:val="32"/>
          <w:szCs w:val="32"/>
          <w:highlight w:val="none"/>
          <w:lang w:val="en-US" w:eastAsia="zh-CN"/>
        </w:rPr>
        <w:t xml:space="preserve">6.1 善后处置</w:t>
      </w:r>
      <w:bookmarkEnd w:id="124"/>
      <w:bookmarkEnd w:id="125"/>
      <w:bookmarkEnd w:id="126"/>
      <w:bookmarkEnd w:id="127"/>
      <w:bookmarkEnd w:id="128"/>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乡镇人民政府、街道办事处在县人民政府的领导下，负责本区域内Ⅳ级危险化学品生产安全事故的善后处置工作。包括人员安置、补偿，征用物资补偿，救援费用的支付，灾后重建，污染物收集、清理与处理等事项。尽快消除事故后果和影响，安抚受害和受影响人员，保证社会稳定，尽快恢复正常秩序。县人民政府配合上级人民政府Ⅲ级及Ⅲ级以上危险化学品生产安全事故的善后处置。</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（2）救援队伍应认真核对参加抢险救灾人员，清点救援装备、器材；整理抢险救灾记录、图纸；核算救灾发生的费用。</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（3）卫生部门要做好事故现场的消毒和疫情监控工作。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（4）企业应深刻吸取事故教训，加强安全管理，加大安全投入，认真落实安全生产责任制，在恢复生产过程中应制定安全措施，防止危险化学品生产安全事故发生。</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129" w:name="_Toc6824_WPSOffice_Level2"/>
      <w:bookmarkStart w:id="130" w:name="_Toc31002"/>
      <w:bookmarkStart w:id="131" w:name="_Toc5463"/>
      <w:bookmarkStart w:id="132" w:name="_Toc4840"/>
      <w:bookmarkStart w:id="133" w:name="_Toc10200"/>
      <w:r>
        <w:rPr>
          <w:rFonts w:ascii="楷体" w:eastAsia="楷体" w:hAnsi="楷体" w:cs="楷体" w:hint="eastAsia"/>
          <w:b/>
          <w:color w:val="auto"/>
          <w:kern w:val="0"/>
          <w:sz w:val="32"/>
          <w:szCs w:val="32"/>
          <w:highlight w:val="none"/>
          <w:lang w:val="en-US" w:eastAsia="zh-CN"/>
        </w:rPr>
        <w:t xml:space="preserve">6.2 社会救济</w:t>
      </w:r>
      <w:bookmarkEnd w:id="129"/>
      <w:bookmarkEnd w:id="130"/>
      <w:bookmarkEnd w:id="131"/>
      <w:bookmarkEnd w:id="132"/>
      <w:bookmarkEnd w:id="133"/>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社会救助由县、乡镇民政部门具体组织落实，原则上保证募捐资金用于事故救援和受灾群众的救助。</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134" w:name="_Toc27548"/>
      <w:bookmarkStart w:id="135" w:name="_Toc19703_WPSOffice_Level2"/>
      <w:bookmarkStart w:id="136" w:name="_Toc433"/>
      <w:bookmarkStart w:id="137" w:name="_Toc31808"/>
      <w:bookmarkStart w:id="138" w:name="_Toc10128"/>
      <w:r>
        <w:rPr>
          <w:rFonts w:ascii="楷体" w:eastAsia="楷体" w:hAnsi="楷体" w:cs="楷体" w:hint="eastAsia"/>
          <w:b/>
          <w:color w:val="auto"/>
          <w:kern w:val="0"/>
          <w:sz w:val="32"/>
          <w:szCs w:val="32"/>
          <w:highlight w:val="none"/>
          <w:lang w:val="en-US" w:eastAsia="zh-CN"/>
        </w:rPr>
        <w:t xml:space="preserve">6.3 保险</w:t>
      </w:r>
      <w:bookmarkEnd w:id="134"/>
      <w:bookmarkEnd w:id="135"/>
      <w:bookmarkEnd w:id="136"/>
      <w:bookmarkEnd w:id="137"/>
      <w:bookmarkEnd w:id="138"/>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所有企业必须为职工办理工伤保险，鼓励企业为职工办理意外伤害保险，鼓励企业参加安全生产责任保险。危险化学品生产安全事故灾难发生后，保险机构及时开展应急救援人员保险受理和受灾人员保险理赔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139" w:name="_Toc11997"/>
      <w:bookmarkStart w:id="140" w:name="_Toc23628"/>
      <w:bookmarkStart w:id="141" w:name="_Toc14452_WPSOffice_Level2"/>
      <w:bookmarkStart w:id="142" w:name="_Toc29161"/>
      <w:bookmarkStart w:id="143" w:name="_Toc6728"/>
      <w:r>
        <w:rPr>
          <w:rFonts w:ascii="楷体" w:eastAsia="楷体" w:hAnsi="楷体" w:cs="楷体" w:hint="eastAsia"/>
          <w:b/>
          <w:color w:val="auto"/>
          <w:kern w:val="0"/>
          <w:sz w:val="32"/>
          <w:szCs w:val="32"/>
          <w:highlight w:val="none"/>
          <w:lang w:val="en-US" w:eastAsia="zh-CN"/>
        </w:rPr>
        <w:t xml:space="preserve">6.4 </w:t>
      </w:r>
      <w:bookmarkEnd w:id="139"/>
      <w:r>
        <w:rPr>
          <w:rFonts w:ascii="楷体" w:eastAsia="楷体" w:hAnsi="楷体" w:cs="楷体" w:hint="eastAsia"/>
          <w:b/>
          <w:color w:val="auto"/>
          <w:kern w:val="0"/>
          <w:sz w:val="32"/>
          <w:szCs w:val="32"/>
          <w:highlight w:val="none"/>
          <w:lang w:val="en-US" w:eastAsia="zh-CN"/>
        </w:rPr>
        <w:t xml:space="preserve">调查评估</w:t>
      </w:r>
      <w:bookmarkEnd w:id="140"/>
      <w:bookmarkEnd w:id="141"/>
      <w:bookmarkEnd w:id="142"/>
      <w:bookmarkEnd w:id="143"/>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参与国务院、省、市政府等上级事故调查组对较大及以上危险化学品安全生产事故灾难进行调查。发生一般危险化学品生产安全事故灾难由县政府组织相关部门组成调查组进行调查</w:t>
      </w:r>
      <w:r>
        <w:rPr>
          <w:rFonts w:ascii="仿宋" w:eastAsia="仿宋" w:hAnsi="仿宋" w:cs="仿宋" w:hint="eastAsia"/>
          <w:color w:val="auto"/>
          <w:kern w:val="0"/>
          <w:sz w:val="32"/>
          <w:szCs w:val="32"/>
          <w:highlight w:val="none"/>
          <w:lang w:eastAsia="zh-CN"/>
        </w:rPr>
        <w:t xml:space="preserve">，</w:t>
      </w:r>
      <w:r>
        <w:rPr>
          <w:rFonts w:ascii="仿宋" w:eastAsia="仿宋" w:hAnsi="仿宋" w:cs="仿宋" w:hint="eastAsia"/>
          <w:color w:val="auto"/>
          <w:kern w:val="0"/>
          <w:sz w:val="32"/>
          <w:szCs w:val="32"/>
          <w:highlight w:val="none"/>
        </w:rPr>
        <w:t xml:space="preserve">在事故发生后应</w:t>
      </w:r>
      <w:r>
        <w:rPr>
          <w:rFonts w:ascii="仿宋" w:eastAsia="仿宋" w:hAnsi="仿宋" w:cs="仿宋" w:hint="eastAsia"/>
          <w:color w:val="auto"/>
          <w:kern w:val="0"/>
          <w:sz w:val="32"/>
          <w:szCs w:val="32"/>
          <w:highlight w:val="none"/>
          <w:lang w:val="en-US" w:eastAsia="zh-CN"/>
        </w:rPr>
        <w:t xml:space="preserve">对事故进行</w:t>
      </w:r>
      <w:r>
        <w:rPr>
          <w:rFonts w:ascii="仿宋" w:eastAsia="仿宋" w:hAnsi="仿宋" w:cs="仿宋" w:hint="eastAsia"/>
          <w:color w:val="auto"/>
          <w:kern w:val="0"/>
          <w:sz w:val="32"/>
          <w:szCs w:val="32"/>
          <w:highlight w:val="none"/>
        </w:rPr>
        <w:t xml:space="preserve">调查</w:t>
      </w:r>
      <w:r>
        <w:rPr>
          <w:rFonts w:ascii="仿宋" w:eastAsia="仿宋" w:hAnsi="仿宋" w:cs="仿宋" w:hint="eastAsia"/>
          <w:color w:val="auto"/>
          <w:kern w:val="0"/>
          <w:sz w:val="32"/>
          <w:szCs w:val="32"/>
          <w:highlight w:val="none"/>
          <w:lang w:val="en-US" w:eastAsia="zh-CN"/>
        </w:rPr>
        <w:t xml:space="preserve">处理</w:t>
      </w:r>
      <w:r>
        <w:rPr>
          <w:rFonts w:ascii="仿宋" w:eastAsia="仿宋" w:hAnsi="仿宋" w:cs="仿宋" w:hint="eastAsia"/>
          <w:color w:val="auto"/>
          <w:kern w:val="0"/>
          <w:sz w:val="32"/>
          <w:szCs w:val="32"/>
          <w:highlight w:val="none"/>
        </w:rPr>
        <w:t xml:space="preserve">。</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危险化学品生产安全事故灾难各项工作处置结束后，现场救援指挥部要及时分析总结应急救援经验教训，提出改进建议，形成应急救援总结报告，报送县政府和县应急指挥部办公室，以便总结改进全县各项应急救援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p>
    <w:p>
      <w:pPr>
        <w:widowControl/>
        <w:shd w:val="clear" w:color="auto" w:fill="FFFFFF"/>
        <w:spacing w:line="576" w:lineRule="exact"/>
        <w:jc w:val="center"/>
        <w:outlineLvl w:val="0"/>
        <w:rPr>
          <w:rFonts w:ascii="黑体" w:eastAsia="黑体" w:hAnsi="黑体" w:cs="宋体" w:hint="eastAsia"/>
          <w:color w:val="auto"/>
          <w:kern w:val="0"/>
          <w:sz w:val="32"/>
          <w:szCs w:val="32"/>
          <w:highlight w:val="none"/>
        </w:rPr>
      </w:pPr>
      <w:bookmarkStart w:id="144" w:name="_Toc26025"/>
      <w:bookmarkStart w:id="145" w:name="_Toc13089"/>
      <w:bookmarkStart w:id="146" w:name="_Toc25056"/>
      <w:bookmarkStart w:id="147" w:name="_Toc14865_WPSOffice_Level1"/>
      <w:bookmarkStart w:id="148" w:name="_Toc17975"/>
      <w:r>
        <w:rPr>
          <w:rFonts w:ascii="黑体" w:eastAsia="黑体" w:hAnsi="黑体" w:cs="宋体" w:hint="eastAsia"/>
          <w:color w:val="auto"/>
          <w:kern w:val="0"/>
          <w:sz w:val="32"/>
          <w:szCs w:val="32"/>
          <w:highlight w:val="none"/>
        </w:rPr>
        <w:t xml:space="preserve">7.保障措施</w:t>
      </w:r>
      <w:bookmarkEnd w:id="144"/>
      <w:bookmarkEnd w:id="145"/>
      <w:bookmarkEnd w:id="146"/>
      <w:bookmarkEnd w:id="147"/>
      <w:bookmarkEnd w:id="148"/>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bookmarkStart w:id="149" w:name="_Toc1868"/>
      <w:bookmarkStart w:id="150" w:name="_Toc31862_WPSOffice_Level2"/>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151" w:name="_Toc17585"/>
      <w:bookmarkStart w:id="152" w:name="_Toc27231"/>
      <w:bookmarkStart w:id="153" w:name="_Toc22131"/>
      <w:r>
        <w:rPr>
          <w:rFonts w:ascii="楷体" w:eastAsia="楷体" w:hAnsi="楷体" w:cs="楷体" w:hint="eastAsia"/>
          <w:b/>
          <w:color w:val="auto"/>
          <w:kern w:val="0"/>
          <w:sz w:val="32"/>
          <w:szCs w:val="32"/>
          <w:highlight w:val="none"/>
          <w:lang w:val="en-US" w:eastAsia="zh-CN"/>
        </w:rPr>
        <w:t xml:space="preserve">7.1 通信与信息保障</w:t>
      </w:r>
      <w:bookmarkEnd w:id="149"/>
      <w:bookmarkEnd w:id="150"/>
      <w:bookmarkEnd w:id="151"/>
      <w:bookmarkEnd w:id="152"/>
      <w:bookmarkEnd w:id="153"/>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lang w:val="en-US" w:eastAsia="zh-CN"/>
        </w:rPr>
        <w:t xml:space="preserve">电信、移动、联通公司</w:t>
      </w:r>
      <w:r>
        <w:rPr>
          <w:rFonts w:ascii="仿宋" w:eastAsia="仿宋" w:hAnsi="仿宋" w:cs="仿宋" w:hint="eastAsia"/>
          <w:color w:val="auto"/>
          <w:kern w:val="0"/>
          <w:sz w:val="32"/>
          <w:szCs w:val="32"/>
          <w:highlight w:val="none"/>
        </w:rPr>
        <w:t xml:space="preserve">应加强通信保障工作，积极采用现有先进通讯工具，确保现场应急救援指挥部通讯畅通，必要时要在现场开通应急通信设施。</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事故灾难信息收集、分析、处理等，根据事故响应情况，由各乡（镇、街道）负责收集上报县应急救援指挥部。</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154" w:name="_Toc23014"/>
      <w:bookmarkStart w:id="155" w:name="_Toc1045"/>
      <w:bookmarkStart w:id="156" w:name="_Toc22588"/>
      <w:bookmarkStart w:id="157" w:name="_Toc13300_WPSOffice_Level2"/>
      <w:bookmarkStart w:id="158" w:name="_Toc226"/>
      <w:r>
        <w:rPr>
          <w:rFonts w:ascii="楷体" w:eastAsia="楷体" w:hAnsi="楷体" w:cs="楷体" w:hint="eastAsia"/>
          <w:b/>
          <w:color w:val="auto"/>
          <w:kern w:val="0"/>
          <w:sz w:val="32"/>
          <w:szCs w:val="32"/>
          <w:highlight w:val="none"/>
          <w:lang w:val="en-US" w:eastAsia="zh-CN"/>
        </w:rPr>
        <w:t xml:space="preserve">7.2 应急救援保障</w:t>
      </w:r>
      <w:bookmarkEnd w:id="154"/>
      <w:bookmarkEnd w:id="155"/>
      <w:bookmarkEnd w:id="156"/>
      <w:bookmarkEnd w:id="157"/>
      <w:bookmarkEnd w:id="158"/>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bookmarkStart w:id="159" w:name="_Toc3152"/>
      <w:r>
        <w:rPr>
          <w:rFonts w:ascii="仿宋" w:eastAsia="仿宋" w:hAnsi="仿宋" w:cs="仿宋" w:hint="eastAsia"/>
          <w:b/>
          <w:bCs/>
          <w:color w:val="auto"/>
          <w:kern w:val="0"/>
          <w:sz w:val="32"/>
          <w:szCs w:val="32"/>
          <w:highlight w:val="none"/>
        </w:rPr>
        <w:t xml:space="preserve">7.2.1 应急救援装备保障</w:t>
      </w:r>
      <w:bookmarkEnd w:id="159"/>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全县范围内各专业应急救援队伍和危险化学品生产经营单位要根据危险化学品生产安全事故处置预案和具体救援方案，做好抢险救援所需的应急物资、应急装备的储备工作，并定期对应急物资、应急装备进行检查、维护，确保其满足应急抢险的要求，建立健全应急救援装备、应急物资信息数据库，并把应急装备配备情况造册登记，并抄送县应急管理局汇总建立县应急装备信息库，以便于应急时可依法调用共享。</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bookmarkStart w:id="160" w:name="_Toc20566"/>
      <w:r>
        <w:rPr>
          <w:rFonts w:ascii="仿宋" w:eastAsia="仿宋" w:hAnsi="仿宋" w:cs="仿宋" w:hint="eastAsia"/>
          <w:b/>
          <w:bCs/>
          <w:color w:val="auto"/>
          <w:kern w:val="0"/>
          <w:sz w:val="32"/>
          <w:szCs w:val="32"/>
          <w:highlight w:val="none"/>
        </w:rPr>
        <w:t xml:space="preserve">7.2.2 应急救援队伍保障</w:t>
      </w:r>
      <w:bookmarkEnd w:id="160"/>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（1）县人民政府以消防救援大队为主的综合应急救援大队</w:t>
      </w:r>
      <w:r>
        <w:rPr>
          <w:rFonts w:ascii="仿宋" w:eastAsia="仿宋" w:hAnsi="仿宋" w:cs="仿宋" w:hint="eastAsia"/>
          <w:color w:val="auto"/>
          <w:kern w:val="0"/>
          <w:sz w:val="32"/>
          <w:szCs w:val="32"/>
          <w:highlight w:val="none"/>
          <w:lang w:val="en-US" w:eastAsia="zh-CN"/>
        </w:rPr>
        <w:t xml:space="preserve">为依托</w:t>
      </w:r>
      <w:r>
        <w:rPr>
          <w:rFonts w:ascii="仿宋" w:eastAsia="仿宋" w:hAnsi="仿宋" w:cs="仿宋" w:hint="eastAsia"/>
          <w:color w:val="auto"/>
          <w:kern w:val="0"/>
          <w:sz w:val="32"/>
          <w:szCs w:val="32"/>
          <w:highlight w:val="none"/>
        </w:rPr>
        <w:t xml:space="preserve">，各危险化学品生产行业主管部门应根据危险化学品生产安全事故类别，建立专业应急救援队伍，负责全县危险化学品生产安全事故的应急救援工作。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（2）企业应建立由专职或兼职人员组成的救援队伍。不具备单独建立专业救援组织的小型企业，应与就近的专业救援组织签订有偿救援协议，或与就近的企业联合建立专业救援组织。</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bookmarkStart w:id="161" w:name="_Toc19365"/>
      <w:r>
        <w:rPr>
          <w:rFonts w:ascii="仿宋" w:eastAsia="仿宋" w:hAnsi="仿宋" w:cs="仿宋" w:hint="eastAsia"/>
          <w:b/>
          <w:bCs/>
          <w:color w:val="auto"/>
          <w:kern w:val="0"/>
          <w:sz w:val="32"/>
          <w:szCs w:val="32"/>
          <w:highlight w:val="none"/>
        </w:rPr>
        <w:t xml:space="preserve">7.2.3 交通运输保障</w:t>
      </w:r>
      <w:bookmarkEnd w:id="161"/>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县交通运输管理部门要保证应急救援队伍、救援物资及应急救援专家能够及时到达事故现场实施救援。需要铁路和空中运输支援时，由县应急救援指挥部与铁道、民航等单位进行协调，组织运输力量，支持应急响应行动；需要实行交通管制时，由交通运输、铁道、公安交警等单位负责组织实施。</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（2）抢险救援和医疗救护车辆配备专用警灯、警笛，发生事故后，根据需要和可能开设应急救援特别通道，或由公安交警部门及时对事故现场进行道路交通管制。</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bookmarkStart w:id="162" w:name="_Toc14336"/>
      <w:r>
        <w:rPr>
          <w:rFonts w:ascii="仿宋" w:eastAsia="仿宋" w:hAnsi="仿宋" w:cs="仿宋" w:hint="eastAsia"/>
          <w:b/>
          <w:bCs/>
          <w:color w:val="auto"/>
          <w:kern w:val="0"/>
          <w:sz w:val="32"/>
          <w:szCs w:val="32"/>
          <w:highlight w:val="none"/>
        </w:rPr>
        <w:t xml:space="preserve">7.2.4 医疗保障</w:t>
      </w:r>
      <w:bookmarkEnd w:id="162"/>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 县人民医院、县中医院、各乡镇、街道办中心卫生院为县危险化学品生产安全事故医疗救护基地，根据事故救援工作需要，参与事故中危重伤员的救治工作。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（2）企业应建立医疗救护站（或与企业所在地医院签订医疗救护协议），负责企业事故伤员的医疗急救和救援队伍医疗救护知识专项培训工作。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bookmarkStart w:id="163" w:name="_Toc31428"/>
      <w:r>
        <w:rPr>
          <w:rFonts w:ascii="仿宋" w:eastAsia="仿宋" w:hAnsi="仿宋" w:cs="仿宋" w:hint="eastAsia"/>
          <w:b/>
          <w:bCs/>
          <w:color w:val="auto"/>
          <w:kern w:val="0"/>
          <w:sz w:val="32"/>
          <w:szCs w:val="32"/>
          <w:highlight w:val="none"/>
        </w:rPr>
        <w:t xml:space="preserve">7.2.5 治安保障</w:t>
      </w:r>
      <w:bookmarkEnd w:id="163"/>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根据事故灾难发生状况和应急救援需要，公安部门要迅速对危险化学品生产安全事故应急处置中的重要目标和危险区域实施治安管控、警戒和交通管制措施。</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需要疏散、转移群众时，事发地乡镇人民政府、街道办事处相关部门做好相应的治安保卫工作。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bookmarkStart w:id="164" w:name="_Toc29417"/>
      <w:r>
        <w:rPr>
          <w:rFonts w:ascii="仿宋" w:eastAsia="仿宋" w:hAnsi="仿宋" w:cs="仿宋" w:hint="eastAsia"/>
          <w:b/>
          <w:bCs/>
          <w:color w:val="auto"/>
          <w:kern w:val="0"/>
          <w:sz w:val="32"/>
          <w:szCs w:val="32"/>
          <w:highlight w:val="none"/>
        </w:rPr>
        <w:t xml:space="preserve">7.2.6 经费保障</w:t>
      </w:r>
      <w:bookmarkEnd w:id="164"/>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县人民政府设立危险化学品生产安全事故应急救援保障专项资金，用于较大以上危险化学品生产安全事故的应急救援和县应急救援基地救灾物资储备的更新、维护。发生事故企业为应急救援工作提供资金保障。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bookmarkStart w:id="165" w:name="_Toc346"/>
      <w:r>
        <w:rPr>
          <w:rFonts w:ascii="仿宋" w:eastAsia="仿宋" w:hAnsi="仿宋" w:cs="仿宋" w:hint="eastAsia"/>
          <w:b/>
          <w:bCs/>
          <w:color w:val="auto"/>
          <w:kern w:val="0"/>
          <w:sz w:val="32"/>
          <w:szCs w:val="32"/>
          <w:highlight w:val="none"/>
        </w:rPr>
        <w:t xml:space="preserve">7.2.7 社会动员保障</w:t>
      </w:r>
      <w:bookmarkEnd w:id="165"/>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乡镇人民政府、街道办事处要根据需要动员和组织社会力量参加危险化学品生产安全事故灾难的应急救援工作，县应急指挥部协调调用事发地意外的有关社会应急力量参与增援时，有关人民政府应及时给予支持。</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r>
        <w:rPr>
          <w:rFonts w:ascii="仿宋" w:eastAsia="仿宋" w:hAnsi="仿宋" w:cs="仿宋" w:hint="eastAsia"/>
          <w:b/>
          <w:bCs/>
          <w:color w:val="auto"/>
          <w:kern w:val="0"/>
          <w:sz w:val="32"/>
          <w:szCs w:val="32"/>
          <w:highlight w:val="none"/>
        </w:rPr>
        <w:t xml:space="preserve">7.2.8 基本生活保障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民政</w:t>
      </w:r>
      <w:r>
        <w:rPr>
          <w:rFonts w:ascii="仿宋" w:eastAsia="仿宋" w:hAnsi="仿宋" w:cs="仿宋" w:hint="eastAsia"/>
          <w:color w:val="auto"/>
          <w:kern w:val="0"/>
          <w:sz w:val="32"/>
          <w:szCs w:val="32"/>
          <w:highlight w:val="none"/>
          <w:lang w:eastAsia="zh-CN"/>
        </w:rPr>
        <w:t xml:space="preserve">、</w:t>
      </w:r>
      <w:r>
        <w:rPr>
          <w:rFonts w:ascii="仿宋" w:eastAsia="仿宋" w:hAnsi="仿宋" w:cs="仿宋" w:hint="eastAsia"/>
          <w:color w:val="auto"/>
          <w:kern w:val="0"/>
          <w:sz w:val="32"/>
          <w:szCs w:val="32"/>
          <w:highlight w:val="none"/>
          <w:lang w:val="en-US" w:eastAsia="zh-CN"/>
        </w:rPr>
        <w:t xml:space="preserve">应急管理部门等</w:t>
      </w:r>
      <w:r>
        <w:rPr>
          <w:rFonts w:ascii="仿宋" w:eastAsia="仿宋" w:hAnsi="仿宋" w:cs="仿宋" w:hint="eastAsia"/>
          <w:color w:val="auto"/>
          <w:kern w:val="0"/>
          <w:sz w:val="32"/>
          <w:szCs w:val="32"/>
          <w:highlight w:val="none"/>
        </w:rPr>
        <w:t xml:space="preserve">有关单位会同事发地乡镇人民政府、街道办事处负责做好危险化学品生产安全事故灾难受灾群众的基本生活保障工作。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r>
        <w:rPr>
          <w:rFonts w:ascii="仿宋" w:eastAsia="仿宋" w:hAnsi="仿宋" w:cs="仿宋" w:hint="eastAsia"/>
          <w:b/>
          <w:bCs/>
          <w:color w:val="auto"/>
          <w:kern w:val="0"/>
          <w:sz w:val="32"/>
          <w:szCs w:val="32"/>
          <w:highlight w:val="none"/>
        </w:rPr>
        <w:t xml:space="preserve">7.2.9 应急避难场所保障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事故发生地乡镇人民政府、街道办事处负责提供重大事故灾难发生时人员避难所需要的场所。</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bookmarkStart w:id="166" w:name="_Toc2265"/>
      <w:bookmarkStart w:id="167" w:name="_Toc32281_WPSOffice_Level2"/>
      <w:r>
        <w:rPr>
          <w:rFonts w:ascii="仿宋" w:eastAsia="仿宋" w:hAnsi="仿宋" w:cs="仿宋" w:hint="eastAsia"/>
          <w:b/>
          <w:bCs/>
          <w:color w:val="auto"/>
          <w:kern w:val="0"/>
          <w:sz w:val="32"/>
          <w:szCs w:val="32"/>
          <w:highlight w:val="none"/>
        </w:rPr>
        <w:t xml:space="preserve">7.2.10 技术储备与保障</w:t>
      </w:r>
      <w:bookmarkEnd w:id="166"/>
      <w:bookmarkEnd w:id="167"/>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以西宁市危安全生产专家库为基础，必要时可请求青海省安全生产专家库救援。根据危险化学品生产安全事故灾难应急救援需要，充实、完善应急救援专家组成员。做好危险化学品生产安全事故应急救援的管理、技术、装备等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p>
    <w:p>
      <w:pPr>
        <w:widowControl/>
        <w:shd w:val="clear" w:color="auto" w:fill="FFFFFF"/>
        <w:spacing w:line="576" w:lineRule="exact"/>
        <w:jc w:val="center"/>
        <w:outlineLvl w:val="0"/>
        <w:rPr>
          <w:rFonts w:ascii="黑体" w:eastAsia="黑体" w:hAnsi="黑体" w:cs="宋体" w:hint="eastAsia"/>
          <w:color w:val="auto"/>
          <w:kern w:val="0"/>
          <w:sz w:val="32"/>
          <w:szCs w:val="32"/>
          <w:highlight w:val="none"/>
        </w:rPr>
      </w:pPr>
      <w:bookmarkStart w:id="168" w:name="_Toc20689"/>
      <w:bookmarkStart w:id="169" w:name="_Toc16162_WPSOffice_Level1"/>
      <w:bookmarkStart w:id="170" w:name="_Toc26019"/>
      <w:bookmarkStart w:id="171" w:name="_Toc16852"/>
      <w:bookmarkStart w:id="172" w:name="_Toc21397"/>
      <w:r>
        <w:rPr>
          <w:rFonts w:ascii="黑体" w:eastAsia="黑体" w:hAnsi="黑体" w:cs="宋体" w:hint="eastAsia"/>
          <w:color w:val="auto"/>
          <w:kern w:val="0"/>
          <w:sz w:val="32"/>
          <w:szCs w:val="32"/>
          <w:highlight w:val="none"/>
        </w:rPr>
        <w:t xml:space="preserve">8. 预案管理</w:t>
      </w:r>
      <w:bookmarkEnd w:id="168"/>
      <w:bookmarkEnd w:id="169"/>
      <w:bookmarkEnd w:id="170"/>
      <w:bookmarkEnd w:id="171"/>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173" w:name="_Toc18057"/>
      <w:bookmarkStart w:id="174" w:name="_Toc17063"/>
      <w:bookmarkStart w:id="175" w:name="_Toc7224_WPSOffice_Level2"/>
      <w:bookmarkStart w:id="176" w:name="_Toc1535"/>
      <w:r>
        <w:rPr>
          <w:rFonts w:ascii="楷体" w:eastAsia="楷体" w:hAnsi="楷体" w:cs="楷体" w:hint="eastAsia"/>
          <w:b/>
          <w:color w:val="auto"/>
          <w:kern w:val="0"/>
          <w:sz w:val="32"/>
          <w:szCs w:val="32"/>
          <w:highlight w:val="none"/>
          <w:lang w:val="en-US" w:eastAsia="zh-CN"/>
        </w:rPr>
        <w:t xml:space="preserve">8.1 宣传、培训和演习</w:t>
      </w:r>
      <w:bookmarkEnd w:id="172"/>
      <w:bookmarkEnd w:id="173"/>
      <w:bookmarkEnd w:id="174"/>
      <w:bookmarkEnd w:id="175"/>
      <w:bookmarkEnd w:id="176"/>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bookmarkStart w:id="177" w:name="_Toc8872"/>
      <w:r>
        <w:rPr>
          <w:rFonts w:ascii="仿宋" w:eastAsia="仿宋" w:hAnsi="仿宋" w:cs="仿宋" w:hint="eastAsia"/>
          <w:b/>
          <w:bCs/>
          <w:color w:val="auto"/>
          <w:kern w:val="0"/>
          <w:sz w:val="32"/>
          <w:szCs w:val="32"/>
          <w:highlight w:val="none"/>
        </w:rPr>
        <w:t xml:space="preserve">8.1.1 宣传</w:t>
      </w:r>
      <w:bookmarkEnd w:id="177"/>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（1）县应急救援指挥部公布企业危险化学品生产安全事故应急预案信息、接警电话和部门，宣传应急法律法规。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（2）企业应组织职工学习和大力宣传本企业应急预案、灾害预防与处理计划，以及避灾、自救和互救常识。</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bookmarkStart w:id="178" w:name="_Toc28358"/>
      <w:r>
        <w:rPr>
          <w:rFonts w:ascii="仿宋" w:eastAsia="仿宋" w:hAnsi="仿宋" w:cs="仿宋" w:hint="eastAsia"/>
          <w:b/>
          <w:bCs/>
          <w:color w:val="auto"/>
          <w:kern w:val="0"/>
          <w:sz w:val="32"/>
          <w:szCs w:val="32"/>
          <w:highlight w:val="none"/>
        </w:rPr>
        <w:t xml:space="preserve">8.1.2 培训</w:t>
      </w:r>
      <w:bookmarkEnd w:id="178"/>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（1）县应急管理局要将本应急预案的培训纳入安全生产培训工作计划，并组织实施本县行政区域内重点生产经营单位的应急预案培训工作。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（2）生产经营单位要组织开展本单位的应急预案、应急知识、自救互救和避险逃生技能的培训活动，使有关人员了解应急预案内容，熟悉应急职责、应急处置程序和措施。</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w:t>
      </w:r>
      <w:r>
        <w:rPr>
          <w:rFonts w:ascii="仿宋" w:eastAsia="仿宋" w:hAnsi="仿宋" w:cs="仿宋" w:hint="eastAsia"/>
          <w:color w:val="auto"/>
          <w:kern w:val="0"/>
          <w:sz w:val="32"/>
          <w:szCs w:val="32"/>
          <w:highlight w:val="none"/>
          <w:lang w:val="en-US" w:eastAsia="zh-CN"/>
        </w:rPr>
        <w:t xml:space="preserve">3</w:t>
      </w:r>
      <w:r>
        <w:rPr>
          <w:rFonts w:ascii="仿宋" w:eastAsia="仿宋" w:hAnsi="仿宋" w:cs="仿宋" w:hint="eastAsia"/>
          <w:color w:val="auto"/>
          <w:kern w:val="0"/>
          <w:sz w:val="32"/>
          <w:szCs w:val="32"/>
          <w:highlight w:val="none"/>
        </w:rPr>
        <w:t xml:space="preserve">）应急培训的时间、地点、内容、师资、参加人员和考核结果等情况应当如实记入本部门、本单位的安全生产教育和培训档案。</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bookmarkStart w:id="179" w:name="_Toc18645"/>
      <w:r>
        <w:rPr>
          <w:rFonts w:ascii="仿宋" w:eastAsia="仿宋" w:hAnsi="仿宋" w:cs="仿宋" w:hint="eastAsia"/>
          <w:b/>
          <w:bCs/>
          <w:color w:val="auto"/>
          <w:kern w:val="0"/>
          <w:sz w:val="32"/>
          <w:szCs w:val="32"/>
          <w:highlight w:val="none"/>
        </w:rPr>
        <w:t xml:space="preserve">8.1.3 演习</w:t>
      </w:r>
      <w:bookmarkEnd w:id="179"/>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县应急管理局至少每两年组织一次应急预案演练；各乡镇人民政府、街道办事处应急救援指挥机构每年应组织一次本辖区内救灾指挥系统启动模拟演习；提高本部门、本地区危险化学品生产安全事故应急处置能力。</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（2）生产经营单位要制定本单位的应急预案演练计划，根据本单位的事故风险特点，每年至少组织一次综合应急预案演练或者专项应急预案演练，每半年至少组织一次现场处置方案演练。</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县行政区域范围内的易燃易爆物品、危险化学品等危险物品的生产、经营、储存、运输单位，每半年至少组织一次危险化学品生产安全事故应急预案演练，并将演练情况</w:t>
      </w:r>
      <w:r>
        <w:rPr>
          <w:rFonts w:ascii="仿宋" w:eastAsia="仿宋" w:hAnsi="仿宋" w:cs="仿宋" w:hint="eastAsia"/>
          <w:color w:val="auto"/>
          <w:kern w:val="0"/>
          <w:sz w:val="32"/>
          <w:szCs w:val="32"/>
          <w:highlight w:val="none"/>
          <w:lang w:val="en-US" w:eastAsia="zh-CN"/>
        </w:rPr>
        <w:t xml:space="preserve">报备</w:t>
      </w:r>
      <w:r>
        <w:rPr>
          <w:rFonts w:ascii="仿宋" w:eastAsia="仿宋" w:hAnsi="仿宋" w:cs="仿宋" w:hint="eastAsia"/>
          <w:color w:val="auto"/>
          <w:kern w:val="0"/>
          <w:sz w:val="32"/>
          <w:szCs w:val="32"/>
          <w:highlight w:val="none"/>
        </w:rPr>
        <w:t xml:space="preserve">县应急管理局。</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180" w:name="_Toc8421_WPSOffice_Level2"/>
      <w:bookmarkStart w:id="181" w:name="_Toc9459"/>
      <w:bookmarkStart w:id="182" w:name="_Toc6707"/>
      <w:bookmarkStart w:id="183" w:name="_Toc10028"/>
      <w:bookmarkStart w:id="184" w:name="_Toc31"/>
      <w:r>
        <w:rPr>
          <w:rFonts w:ascii="楷体" w:eastAsia="楷体" w:hAnsi="楷体" w:cs="楷体" w:hint="eastAsia"/>
          <w:b/>
          <w:color w:val="auto"/>
          <w:kern w:val="0"/>
          <w:sz w:val="32"/>
          <w:szCs w:val="32"/>
          <w:highlight w:val="none"/>
          <w:lang w:val="en-US" w:eastAsia="zh-CN"/>
        </w:rPr>
        <w:t xml:space="preserve">8.2 预案</w:t>
      </w:r>
      <w:bookmarkEnd w:id="180"/>
      <w:r>
        <w:rPr>
          <w:rFonts w:ascii="楷体" w:eastAsia="楷体" w:hAnsi="楷体" w:cs="楷体" w:hint="eastAsia"/>
          <w:b/>
          <w:color w:val="auto"/>
          <w:kern w:val="0"/>
          <w:sz w:val="32"/>
          <w:szCs w:val="32"/>
          <w:highlight w:val="none"/>
          <w:lang w:val="en-US" w:eastAsia="zh-CN"/>
        </w:rPr>
        <w:t xml:space="preserve">评估、修订与备案</w:t>
      </w:r>
      <w:bookmarkEnd w:id="181"/>
      <w:bookmarkEnd w:id="182"/>
      <w:bookmarkEnd w:id="183"/>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（1）县应急管理局应当建立应急预案定期评估制度，每三年对预案进行1次评估，对预案内容的针对性和实用性进行分析，并对应急预案是否需要修订作出结论。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（2）应急预案评估可以邀请相关专业机构或者有关专家、有实际应急救援工作经验的人员参加，必要时可以委托安全生产技术服务机构实施。</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（3）有下列情形之一的，应当及时组织对本预案进行修订并归档：</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①依据的法律、法规、规章、标准及上级人民政府预案中的有关规定发生重大变化的；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②应急指挥机构及其职责发生调整的；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③安全生产面临的风险发生重大变化的；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④重要应急资源发生重大变化的；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⑤在应急演练和事故应急救援中发现需要修订预案的重大问题的；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⑥ 县应急管理局认为应当修订的其他情况。</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（4）本预案报西宁市应急管理局备案，并</w:t>
      </w:r>
      <w:r>
        <w:rPr>
          <w:rFonts w:ascii="仿宋" w:eastAsia="仿宋" w:hAnsi="仿宋" w:cs="仿宋" w:hint="eastAsia"/>
          <w:color w:val="auto"/>
          <w:kern w:val="0"/>
          <w:sz w:val="32"/>
          <w:szCs w:val="32"/>
          <w:highlight w:val="none"/>
          <w:lang w:val="en-US" w:eastAsia="zh-CN"/>
        </w:rPr>
        <w:t xml:space="preserve">由</w:t>
      </w:r>
      <w:r>
        <w:rPr>
          <w:rFonts w:ascii="仿宋" w:eastAsia="仿宋" w:hAnsi="仿宋" w:cs="仿宋" w:hint="eastAsia"/>
          <w:color w:val="auto"/>
          <w:kern w:val="0"/>
          <w:sz w:val="32"/>
          <w:szCs w:val="32"/>
          <w:highlight w:val="none"/>
        </w:rPr>
        <w:t xml:space="preserve">湟中县人民政府依法向社会公布。</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185" w:name="_Toc12941"/>
      <w:bookmarkStart w:id="186" w:name="_Toc28949"/>
      <w:bookmarkStart w:id="187" w:name="_Toc11479"/>
      <w:bookmarkStart w:id="188" w:name="_Toc14263_WPSOffice_Level2"/>
      <w:r>
        <w:rPr>
          <w:rFonts w:ascii="楷体" w:eastAsia="楷体" w:hAnsi="楷体" w:cs="楷体" w:hint="eastAsia"/>
          <w:b/>
          <w:color w:val="auto"/>
          <w:kern w:val="0"/>
          <w:sz w:val="32"/>
          <w:szCs w:val="32"/>
          <w:highlight w:val="none"/>
          <w:lang w:val="en-US" w:eastAsia="zh-CN"/>
        </w:rPr>
        <w:t xml:space="preserve">8.3 监督检查</w:t>
      </w:r>
      <w:bookmarkEnd w:id="184"/>
      <w:bookmarkEnd w:id="185"/>
      <w:bookmarkEnd w:id="186"/>
      <w:bookmarkEnd w:id="187"/>
      <w:bookmarkEnd w:id="188"/>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县应急救援指挥部办公室负责对预案实施的全过程进行检查督导，及时修改完善。</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189" w:name="_Toc23521"/>
      <w:bookmarkStart w:id="190" w:name="_Toc1987"/>
      <w:bookmarkStart w:id="191" w:name="_Toc22143"/>
      <w:r>
        <w:rPr>
          <w:rFonts w:ascii="楷体" w:eastAsia="楷体" w:hAnsi="楷体" w:cs="楷体" w:hint="eastAsia"/>
          <w:b/>
          <w:color w:val="auto"/>
          <w:kern w:val="0"/>
          <w:sz w:val="32"/>
          <w:szCs w:val="32"/>
          <w:highlight w:val="none"/>
          <w:lang w:val="en-US" w:eastAsia="zh-CN"/>
        </w:rPr>
        <w:t xml:space="preserve">8.4 预案的衔接</w:t>
      </w:r>
      <w:bookmarkEnd w:id="189"/>
      <w:bookmarkEnd w:id="190"/>
      <w:bookmarkEnd w:id="191"/>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本预案与《湟中县人民政府突发事件总体应急预案》、县行政区域内各单位、部门、企业危险化学品生产安全事故应急预案相衔接。</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p>
    <w:p>
      <w:pPr>
        <w:widowControl/>
        <w:shd w:val="clear" w:color="auto" w:fill="FFFFFF"/>
        <w:spacing w:line="576" w:lineRule="exact"/>
        <w:jc w:val="center"/>
        <w:outlineLvl w:val="0"/>
        <w:rPr>
          <w:rFonts w:ascii="黑体" w:eastAsia="黑体" w:hAnsi="黑体" w:cs="宋体" w:hint="eastAsia"/>
          <w:color w:val="auto"/>
          <w:kern w:val="0"/>
          <w:sz w:val="32"/>
          <w:szCs w:val="32"/>
          <w:highlight w:val="none"/>
        </w:rPr>
      </w:pPr>
      <w:bookmarkStart w:id="192" w:name="_Toc8229_WPSOffice_Level1"/>
      <w:bookmarkStart w:id="193" w:name="_Toc2299"/>
      <w:bookmarkStart w:id="194" w:name="_Toc25190"/>
      <w:bookmarkStart w:id="195" w:name="_Toc29934"/>
      <w:bookmarkStart w:id="196" w:name="_Toc18382"/>
      <w:r>
        <w:rPr>
          <w:rFonts w:ascii="黑体" w:eastAsia="黑体" w:hAnsi="黑体" w:cs="宋体" w:hint="eastAsia"/>
          <w:color w:val="auto"/>
          <w:kern w:val="0"/>
          <w:sz w:val="32"/>
          <w:szCs w:val="32"/>
          <w:highlight w:val="none"/>
        </w:rPr>
        <w:t xml:space="preserve">9.奖励与责任</w:t>
      </w:r>
      <w:bookmarkEnd w:id="192"/>
      <w:bookmarkEnd w:id="193"/>
      <w:bookmarkEnd w:id="194"/>
      <w:bookmarkEnd w:id="195"/>
      <w:bookmarkEnd w:id="196"/>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（1）对在应急救援工作中有突出贡献的单位和个人应予以表彰奖励。</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（2）对在参加应急救援工作中受伤、致残或者死亡的人员，按照国家有关规定给予医疗救助、抚恤、表彰奖励。</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（3）对不服从指挥部调遣、临阵脱逃、谎报情况的单位和个人，按照有关规定给予行政处分或经济处罚；造成重大损失和扩大灾害程度的，依法追究法律责任。</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p>
    <w:p>
      <w:pPr>
        <w:widowControl/>
        <w:shd w:val="clear" w:color="auto" w:fill="FFFFFF"/>
        <w:spacing w:line="576" w:lineRule="exact"/>
        <w:jc w:val="center"/>
        <w:outlineLvl w:val="0"/>
        <w:rPr>
          <w:rFonts w:ascii="黑体" w:eastAsia="黑体" w:hAnsi="黑体" w:cs="宋体" w:hint="eastAsia"/>
          <w:color w:val="auto"/>
          <w:kern w:val="0"/>
          <w:sz w:val="32"/>
          <w:szCs w:val="32"/>
          <w:highlight w:val="none"/>
        </w:rPr>
      </w:pPr>
      <w:bookmarkStart w:id="197" w:name="_Toc18636"/>
      <w:bookmarkStart w:id="198" w:name="_Toc31913_WPSOffice_Level1"/>
      <w:bookmarkStart w:id="199" w:name="_Toc17495"/>
      <w:bookmarkStart w:id="200" w:name="_Toc11853"/>
      <w:bookmarkStart w:id="201" w:name="_Toc25720"/>
      <w:r>
        <w:rPr>
          <w:rFonts w:ascii="黑体" w:eastAsia="黑体" w:hAnsi="黑体" w:cs="宋体" w:hint="eastAsia"/>
          <w:color w:val="auto"/>
          <w:kern w:val="0"/>
          <w:sz w:val="32"/>
          <w:szCs w:val="32"/>
          <w:highlight w:val="none"/>
        </w:rPr>
        <w:t xml:space="preserve">10.附则</w:t>
      </w:r>
      <w:bookmarkEnd w:id="197"/>
      <w:bookmarkEnd w:id="198"/>
      <w:bookmarkEnd w:id="199"/>
      <w:bookmarkEnd w:id="200"/>
      <w:bookmarkEnd w:id="201"/>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bookmarkStart w:id="202" w:name="_Toc32486_WPSOffice_Level2"/>
      <w:bookmarkStart w:id="203" w:name="_Toc28571"/>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204" w:name="_Toc14685"/>
      <w:bookmarkStart w:id="205" w:name="_Toc17723"/>
      <w:bookmarkStart w:id="206" w:name="_Toc27587"/>
      <w:r>
        <w:rPr>
          <w:rFonts w:ascii="楷体" w:eastAsia="楷体" w:hAnsi="楷体" w:cs="楷体" w:hint="eastAsia"/>
          <w:b/>
          <w:color w:val="auto"/>
          <w:kern w:val="0"/>
          <w:sz w:val="32"/>
          <w:szCs w:val="32"/>
          <w:highlight w:val="none"/>
          <w:lang w:val="en-US" w:eastAsia="zh-CN"/>
        </w:rPr>
        <w:t xml:space="preserve">10.1 </w:t>
      </w:r>
      <w:bookmarkEnd w:id="202"/>
      <w:bookmarkEnd w:id="203"/>
      <w:bookmarkStart w:id="207" w:name="_Toc22487_WPSOffice_Level2"/>
      <w:bookmarkStart w:id="208" w:name="_Toc1281"/>
      <w:r>
        <w:rPr>
          <w:rFonts w:ascii="楷体" w:eastAsia="楷体" w:hAnsi="楷体" w:cs="楷体" w:hint="eastAsia"/>
          <w:b/>
          <w:color w:val="auto"/>
          <w:kern w:val="0"/>
          <w:sz w:val="32"/>
          <w:szCs w:val="32"/>
          <w:highlight w:val="none"/>
          <w:lang w:val="en-US" w:eastAsia="zh-CN"/>
        </w:rPr>
        <w:t xml:space="preserve">预案制定与实施</w:t>
      </w:r>
      <w:bookmarkEnd w:id="204"/>
      <w:bookmarkEnd w:id="205"/>
      <w:bookmarkEnd w:id="206"/>
      <w:bookmarkEnd w:id="207"/>
      <w:bookmarkEnd w:id="208"/>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本预案由县人民政府</w:t>
      </w:r>
      <w:r>
        <w:rPr>
          <w:rFonts w:ascii="仿宋" w:eastAsia="仿宋" w:hAnsi="仿宋" w:cs="仿宋" w:hint="eastAsia"/>
          <w:color w:val="auto"/>
          <w:kern w:val="0"/>
          <w:sz w:val="32"/>
          <w:szCs w:val="32"/>
          <w:highlight w:val="none"/>
          <w:lang w:val="en-US" w:eastAsia="zh-CN"/>
        </w:rPr>
        <w:t xml:space="preserve">发布</w:t>
      </w:r>
      <w:r>
        <w:rPr>
          <w:rFonts w:ascii="仿宋" w:eastAsia="仿宋" w:hAnsi="仿宋" w:cs="仿宋" w:hint="eastAsia"/>
          <w:color w:val="auto"/>
          <w:kern w:val="0"/>
          <w:sz w:val="32"/>
          <w:szCs w:val="32"/>
          <w:highlight w:val="none"/>
        </w:rPr>
        <w:t xml:space="preserve">，自</w:t>
      </w:r>
      <w:r>
        <w:rPr>
          <w:rFonts w:ascii="仿宋" w:eastAsia="仿宋" w:hAnsi="仿宋" w:cs="仿宋" w:hint="eastAsia"/>
          <w:color w:val="auto"/>
          <w:kern w:val="0"/>
          <w:sz w:val="32"/>
          <w:szCs w:val="32"/>
          <w:highlight w:val="none"/>
          <w:lang w:val="en-US" w:eastAsia="zh-CN"/>
        </w:rPr>
        <w:t xml:space="preserve">发布</w:t>
      </w:r>
      <w:r>
        <w:rPr>
          <w:rFonts w:ascii="仿宋" w:eastAsia="仿宋" w:hAnsi="仿宋" w:cs="仿宋" w:hint="eastAsia"/>
          <w:color w:val="auto"/>
          <w:kern w:val="0"/>
          <w:sz w:val="32"/>
          <w:szCs w:val="32"/>
          <w:highlight w:val="none"/>
        </w:rPr>
        <w:t xml:space="preserve">之日起施行，并送西宁市应急管理局部门备案。</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3" w:firstLineChars="200"/>
        <w:textAlignment w:val="auto"/>
        <w:outlineLvl w:val="1"/>
        <w:rPr>
          <w:rFonts w:ascii="楷体" w:eastAsia="楷体" w:hAnsi="楷体" w:cs="楷体" w:hint="eastAsia"/>
          <w:b/>
          <w:color w:val="auto"/>
          <w:kern w:val="0"/>
          <w:sz w:val="32"/>
          <w:szCs w:val="32"/>
          <w:highlight w:val="none"/>
          <w:lang w:val="en-US" w:eastAsia="zh-CN"/>
        </w:rPr>
      </w:pPr>
      <w:bookmarkStart w:id="209" w:name="_Toc8973"/>
      <w:bookmarkStart w:id="210" w:name="_Toc22460"/>
      <w:bookmarkStart w:id="211" w:name="_Toc5946"/>
      <w:r>
        <w:rPr>
          <w:rFonts w:ascii="楷体" w:eastAsia="楷体" w:hAnsi="楷体" w:cs="楷体" w:hint="eastAsia"/>
          <w:b/>
          <w:color w:val="auto"/>
          <w:kern w:val="0"/>
          <w:sz w:val="32"/>
          <w:szCs w:val="32"/>
          <w:highlight w:val="none"/>
          <w:lang w:val="en-US" w:eastAsia="zh-CN"/>
        </w:rPr>
        <w:t xml:space="preserve">10.2危险化学品生产安全事故分级标准</w:t>
      </w:r>
      <w:bookmarkEnd w:id="209"/>
      <w:bookmarkEnd w:id="210"/>
      <w:bookmarkEnd w:id="211"/>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10.2.1特别重大危险化学品生产安全事故（Ⅰ级）</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（1）造成30人以上死亡（含失踪），或危及30人以上生命安全，或100人以上中毒(重伤)，或直接经济损失1亿元以上的特别重大危险化学品生产安全事故。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（2）需紧急转移安置10万人以上的危险化学品生产安全事故。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（3）超出省(区、市)人民政府应急处置能力的危险化学品生产安全事故。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（4）跨省级行政区、跨领域（行业和部门）的危险化学品生产安全事故。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（5）国务院领导同志认为需国务院安委会响应的危险化学品生产安全事故。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10.2.2重大危险化学品生产安全事故（Ⅱ级）</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（1）造成10人以上、30人以下死亡（含失踪），或危及10人以上、30人以下生命安全，或50人以上、100人以下中毒（重伤），或直接经济损失5000万元以上、l亿元以下的危险化学品生产安全事故。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（2）需紧急转移安置5万人以上、10万人以下的危险化学品生产安全事故。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（3）超出地级以上市人民政府应急处置能力的危险化学品生产安全事故。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（4）跨地级以上市行政区的危险化学品生产安全事故。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（5）省政府认为有必要启动Ⅱ级响应的危险化学品生产安全事故。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b/>
          <w:bCs/>
          <w:color w:val="auto"/>
          <w:kern w:val="0"/>
          <w:sz w:val="32"/>
          <w:szCs w:val="32"/>
          <w:highlight w:val="none"/>
        </w:rPr>
      </w:pPr>
      <w:r>
        <w:rPr>
          <w:rFonts w:ascii="仿宋" w:eastAsia="仿宋" w:hAnsi="仿宋" w:cs="仿宋" w:hint="eastAsia"/>
          <w:b/>
          <w:bCs/>
          <w:color w:val="auto"/>
          <w:kern w:val="0"/>
          <w:sz w:val="32"/>
          <w:szCs w:val="32"/>
          <w:highlight w:val="none"/>
        </w:rPr>
        <w:t xml:space="preserve">10.2.3较大危险化学品生产安全事故（Ⅲ级）</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（1）造成3人以上、10人以下死亡（含失踪），或危及3人以上、10人以下生命安全，或10人以上、50人以下中毒（重伤），或直接经济损失5000万元以下的危险化学品生产安全事故。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（2）需紧急转移安置3万人以上、5万人以下的危险化学品生产安全事故。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（3）超出县级人民政府应急处置能力的危险化学品生产安全事故。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（4）发生跨县级行政区危险化学品生产安全事故。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（5）地级以上市人民政府认为有必要启动Ⅲ级响应的危险化学品生产安全事故。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b/>
          <w:bCs/>
          <w:color w:val="auto"/>
          <w:kern w:val="0"/>
          <w:sz w:val="32"/>
          <w:szCs w:val="32"/>
          <w:highlight w:val="none"/>
        </w:rPr>
        <w:t xml:space="preserve">10.2.4一般危险化学品生产安全事故（Ⅳ级）</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（1）造成3人以下死亡，或10人以下重伤（中毒），或危及3人以下生命安全，或直接经济损失1000万元以下的危险化学品生产安全事故。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（2）需紧急转移安置3万人以下的危险化学品生产安全事故。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（3）县政府认为有必要启动Ⅳ级响应的危险化学品生产安全事故。</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本节有关数量的表述中，“以上”含本数，“以下”不含本数。</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0"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Ⅰ级响应由国务院或国务院有关部门启动，Ⅱ级响应由省政府启动，Ⅲ级响应由地级以上市人民政府启动，Ⅳ级响应由各县（市、区）人民政府启动。</w:t>
      </w:r>
    </w:p>
    <w:p>
      <w:pPr>
        <w:rPr>
          <w:color w:val="auto"/>
          <w:sz w:val="28"/>
          <w:highlight w:val="none"/>
        </w:rPr>
      </w:pPr>
    </w:p>
    <w:p>
      <w:pPr>
        <w:pStyle w:val="Normal(Web)"/>
        <w:widowControl/>
        <w:shd w:val="clear" w:color="auto" w:fill="FFFFFF"/>
        <w:spacing w:before="0" w:beforeAutospacing="0" w:after="0" w:afterAutospacing="0" w:line="540" w:lineRule="atLeast"/>
        <w:jc w:val="left"/>
        <w:rPr>
          <w:color w:val="auto"/>
          <w:sz w:val="32"/>
          <w:szCs w:val="32"/>
          <w:highlight w:val="none"/>
        </w:rPr>
      </w:pPr>
      <w:r>
        <w:rPr>
          <w:rFonts w:ascii="黑体" w:eastAsia="黑体" w:hAnsi="黑体" w:cs="宋体" w:hint="eastAsia"/>
          <w:color w:val="auto"/>
          <w:sz w:val="32"/>
          <w:szCs w:val="32"/>
          <w:highlight w:val="none"/>
        </w:rPr>
        <w:t xml:space="preserve">附件1： 危化学品事故应急处置流程</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40" w:lineRule="atLeast"/>
        <w:ind w:left="0" w:right="0" w:firstLine="0" w:leftChars="0" w:firstLineChars="0"/>
        <w:jc w:val="left"/>
        <w:textAlignment w:val="auto"/>
        <w:outlineLvl w:val="9"/>
        <w:rPr>
          <w:color w:val="auto"/>
          <w:sz w:val="28"/>
          <w:highlight w:val="none"/>
        </w:rPr>
      </w:pPr>
      <w:r>
        <w:rPr>
          <w:color w:val="auto"/>
          <w:sz w:val="28"/>
          <w:highlight w:val="none"/>
        </w:rPr>
        <w:pict>
          <v:group id="_x0000_s0119" o:spid="_x0000_s0191" style="height:17.2pt;margin-left:21.45pt;margin-top:479.5pt;mso-height-relative:page;mso-width-relative:page;position:absolute;width:408.7pt;z-index:251661312" coordorigin="5838,696093" coordsize="8174,344">
            <v:shape id="_x0000_s0120" o:spid="_x0000_s0192" type="#_x0000_t32" style="height:315;left:13998;position:absolute;top:696108;width:15" coordsize="21600,21600" filled="f" stroked="t" strokeweight="1.75pt">
              <v:stroke joinstyle="bevel"/>
              <v:path arrowok="t"/>
            </v:shape>
            <v:shape id="_x0000_s0121" o:spid="_x0000_s0193" type="#_x0000_t32" style="height:315;left:12228;position:absolute;top:696093;width:15" coordsize="21600,21600" filled="f" stroked="t" strokeweight="1.75pt">
              <v:stroke joinstyle="bevel"/>
              <v:path arrowok="t"/>
            </v:shape>
            <v:shape id="_x0000_s0122" o:spid="_x0000_s0194" type="#_x0000_t32" style="height:315;left:10788;position:absolute;top:696093;width:15" coordsize="21600,21600" filled="f" stroked="t" strokeweight="1.75pt">
              <v:stroke joinstyle="bevel"/>
              <v:path arrowok="t"/>
            </v:shape>
            <v:shape id="_x0000_s0123" o:spid="_x0000_s0195" type="#_x0000_t32" style="height:315;left:9003;position:absolute;top:696123;width:15" coordsize="21600,21600" filled="f" stroked="t" strokeweight="1.75pt">
              <v:stroke joinstyle="bevel"/>
              <v:path arrowok="t"/>
            </v:shape>
            <v:shape id="_x0000_s0124" o:spid="_x0000_s0196" type="#_x0000_t32" style="height:315;left:7158;position:absolute;top:696123;width:15" coordsize="21600,21600" filled="f" stroked="t" strokeweight="1.75pt">
              <v:stroke joinstyle="bevel"/>
              <v:path arrowok="t"/>
            </v:shape>
            <v:shape id="_x0000_s0125" o:spid="_x0000_s0197" type="#_x0000_t32" style="height:315;left:5838;position:absolute;top:696108;width:15" coordsize="21600,21600" filled="f" stroked="t" strokeweight="1.75pt">
              <v:stroke joinstyle="bevel"/>
              <v:path arrowok="t"/>
            </v:shape>
          </v:group>
        </w:pict>
      </w:r>
      <w:r>
        <w:rPr>
          <w:color w:val="auto"/>
          <w:sz w:val="28"/>
          <w:highlight w:val="none"/>
        </w:rPr>
        <w:pict>
          <v:group id="_x0000_s0126" o:spid="_x0000_s0198" style="height:263.2pt;margin-left:23.7pt;margin-top:385pt;mso-height-relative:page;mso-width-relative:page;position:absolute;width:406.4pt;z-index:251662336" coordorigin="5883,694188" coordsize="8128,5264">
            <v:group id="_x0000_s0127" o:spid="_x0000_s0199" style="height:614;left:5883;position:absolute;top:694188;width:8128" coordorigin="5883,694188" coordsize="8128,614">
              <v:shape id="_x0000_s0128" o:spid="_x0000_s0200" type="#_x0000_t32" style="flip:x;height:270;left:10098;position:absolute;top:694188;width:15" coordsize="21600,21600" filled="f" stroked="t" strokeweight="1.75pt">
                <v:stroke joinstyle="bevel" endarrow="classic"/>
                <v:path arrowok="t"/>
              </v:shape>
              <v:group id="_x0000_s0129" o:spid="_x0000_s0201" style="height:344;left:5883;position:absolute;top:694458;width:8129" coordorigin="5883,694458" coordsize="8129,344">
                <v:shape id="_x0000_s0130" o:spid="_x0000_s0202" type="#_x0000_t32" style="height:315;left:5883;position:absolute;top:694473;width:15" coordsize="21600,21600" filled="f" stroked="t" strokeweight="1.75pt">
                  <v:stroke joinstyle="bevel" endarrow="classic"/>
                  <v:path arrowok="t"/>
                </v:shape>
                <v:shape id="_x0000_s0131" o:spid="_x0000_s0203" type="#_x0000_t32" style="height:315;left:7188;position:absolute;top:694488;width:15" coordsize="21600,21600" filled="f" stroked="t" strokeweight="1.75pt">
                  <v:stroke joinstyle="bevel" endarrow="classic"/>
                  <v:path arrowok="t"/>
                </v:shape>
                <v:shape id="_x0000_s0132" o:spid="_x0000_s0204" type="#_x0000_t32" style="height:315;left:9033;position:absolute;top:694488;width:15" coordsize="21600,21600" filled="f" stroked="t" strokeweight="1.75pt">
                  <v:stroke joinstyle="bevel" endarrow="classic"/>
                  <v:path arrowok="t"/>
                </v:shape>
                <v:shape id="_x0000_s0133" o:spid="_x0000_s0205" type="#_x0000_t32" style="height:315;left:10728;position:absolute;top:694458;width:15" coordsize="21600,21600" filled="f" stroked="t" strokeweight="1.75pt">
                  <v:stroke joinstyle="bevel" endarrow="classic"/>
                  <v:path arrowok="t"/>
                </v:shape>
                <v:shape id="_x0000_s0134" o:spid="_x0000_s0206" type="#_x0000_t32" style="height:315;left:13998;position:absolute;top:694473;width:15" coordsize="21600,21600" filled="f" stroked="t" strokeweight="1.75pt">
                  <v:stroke joinstyle="bevel" endarrow="classic"/>
                  <v:path arrowok="t"/>
                </v:shape>
                <v:shape id="_x0000_s0135" o:spid="_x0000_s0207" type="#_x0000_t32" style="height:315;left:12198;position:absolute;top:694458;width:15" coordsize="21600,21600" filled="f" stroked="t" strokeweight="1.75pt">
                  <v:stroke joinstyle="bevel" endarrow="classic"/>
                  <v:path arrowok="t"/>
                </v:shape>
              </v:group>
            </v:group>
            <v:group id="_x0000_s0136" o:spid="_x0000_s0208" style="height:3044;left:10053;position:absolute;top:696408;width:61" coordorigin="10053,696408" coordsize="61,3044">
              <v:shape id="_x0000_s0137" o:spid="_x0000_s0209" type="#_x0000_t32" style="height:285;left:10098;position:absolute;top:696408;width:16" coordsize="21600,21600" filled="f" stroked="t" strokeweight="1.75pt">
                <v:stroke joinstyle="bevel" endarrow="classic"/>
                <v:path arrowok="t"/>
              </v:shape>
              <v:shape id="_x0000_s0138" o:spid="_x0000_s0210" type="#_x0000_t32" style="height:285;left:10098;position:absolute;top:697248;width:16" coordsize="21600,21600" filled="f" stroked="t" strokeweight="1.75pt">
                <v:stroke joinstyle="bevel" endarrow="classic"/>
                <v:path arrowok="t"/>
              </v:shape>
              <v:shape id="_x0000_s0139" o:spid="_x0000_s0211" type="#_x0000_t32" style="height:285;left:10083;position:absolute;top:698283;width:16" coordsize="21600,21600" filled="f" stroked="t" strokeweight="1.75pt">
                <v:stroke joinstyle="bevel" endarrow="classic"/>
                <v:path arrowok="t"/>
              </v:shape>
              <v:shape id="_x0000_s0140" o:spid="_x0000_s0212" type="#_x0000_t32" style="height:285;left:10053;position:absolute;top:699168;width:16" coordsize="21600,21600" filled="f" stroked="t" strokeweight="1.75pt">
                <v:stroke joinstyle="bevel" endarrow="classic"/>
                <v:path arrowok="t"/>
              </v:shape>
            </v:group>
          </v:group>
        </w:pict>
      </w:r>
      <w:r>
        <w:rPr>
          <w:color w:val="auto"/>
          <w:sz w:val="28"/>
          <w:highlight w:val="none"/>
        </w:rPr>
        <w:pict>
          <v:group id="_x0000_s0141" o:spid="_x0000_s0213" style="height:311.25pt;margin-left:73.2pt;margin-top:44.4pt;mso-height-relative:page;mso-width-relative:page;position:absolute;width:305.9pt;z-index:251663360" coordorigin="6888,687391" coordsize="6118,6225">
            <v:shape id="_x0000_s0142" o:spid="_x0000_s0214" type="#_x0000_t32" style="height:420;left:9990;position:absolute;top:687391;width:15" coordsize="21600,21600" filled="f" stroked="t" strokeweight="1.75pt">
              <v:stroke joinstyle="bevel" endarrow="classic"/>
              <v:path arrowok="t"/>
            </v:shape>
            <v:group id="_x0000_s0143" o:spid="_x0000_s0215" style="height:5189;left:6888;position:absolute;top:688428;width:6118" coordorigin="6888,688428" coordsize="6118,5189">
              <v:shape id="_x0000_s0144" o:spid="_x0000_s0216" type="#_x0000_t32" style="flip:x;height:510;left:9978;position:absolute;top:688428;width:15" coordsize="21600,21600" filled="f" stroked="t" strokeweight="1.75pt">
                <v:stroke joinstyle="bevel" endarrow="classic"/>
                <v:path arrowok="t"/>
              </v:shape>
              <v:shape id="_x0000_s0145" o:spid="_x0000_s0217" type="#_x0000_t32" style="flip:x;height:403;left:6960;position:absolute;top:688608;width:18" coordsize="21600,21600" filled="f" stroked="t" strokeweight="1.75pt">
                <v:stroke joinstyle="bevel" endarrow="classic"/>
                <v:path arrowok="t"/>
              </v:shape>
              <v:shape id="_x0000_s0146" o:spid="_x0000_s0218" type="#_x0000_t32" style="height:343;left:12963;position:absolute;top:688608;width:12" coordsize="21600,21600" filled="f" stroked="t" strokeweight="1.75pt">
                <v:stroke joinstyle="bevel" endarrow="classic"/>
                <v:path arrowok="t"/>
              </v:shape>
              <v:shape id="_x0000_s0147" o:spid="_x0000_s0219" type="#_x0000_t32" style="height:332;left:10080;position:absolute;top:690661;width:18" coordsize="21600,21600" filled="f" stroked="t" strokeweight="1.75pt">
                <v:stroke joinstyle="bevel" endarrow="classic"/>
                <v:path arrowok="t"/>
              </v:shape>
              <v:shape id="_x0000_s0148" o:spid="_x0000_s0220" type="#_x0000_t32" style="flip:x y;height:15;left:11358;position:absolute;top:690198;width:1635" coordsize="21600,21600" filled="f" stroked="t" strokeweight="1.75pt">
                <v:stroke joinstyle="round" endarrow="classic"/>
                <v:path arrowok="t"/>
              </v:shape>
              <v:shape id="_x0000_s0149" o:spid="_x0000_s0221" type="#_x0000_t32" style="height:0;left:6978;position:absolute;top:690288;width:1695" coordsize="21600,21600" filled="f" stroked="t" strokeweight="1.75pt">
                <v:stroke joinstyle="round" endarrow="classic"/>
                <v:path arrowok="t"/>
              </v:shape>
              <v:shape id="_x0000_s0150" o:spid="_x0000_s0222" type="#_x0000_t32" style="flip:x;height:317;left:10083;position:absolute;top:691546;width:12" coordsize="21600,21600" filled="f" stroked="t" strokeweight="1.75pt">
                <v:stroke joinstyle="bevel" endarrow="classic"/>
                <v:path arrowok="t"/>
              </v:shape>
              <v:shape id="_x0000_s0151" o:spid="_x0000_s0223" type="#_x0000_t32" style="height:332;left:10035;position:absolute;top:689476;width:18" coordsize="21600,21600" filled="f" stroked="t" strokeweight="1.75pt">
                <v:stroke joinstyle="bevel" endarrow="classic"/>
                <v:path arrowok="t"/>
              </v:shape>
              <v:group id="_x0000_s0152" o:spid="_x0000_s0224" style="height:1184;left:6888;position:absolute;top:692433;width:6119" coordorigin="6888,692433" coordsize="6119,1184">
                <v:shape id="_x0000_s0153" o:spid="_x0000_s0225" type="#_x0000_t32" style="height:0;left:6888;position:absolute;top:693063;width:1455" coordsize="21600,21600" filled="f" stroked="t" strokeweight="1.75pt">
                  <v:stroke joinstyle="round" endarrow="classic"/>
                  <v:path arrowok="t"/>
                </v:shape>
                <v:shape id="_x0000_s0154" o:spid="_x0000_s0226" type="#_x0000_t32" style="flip:x;height:0;left:11553;position:absolute;top:693018;width:1455" coordsize="21600,21600" filled="f" stroked="t" strokeweight="1.75pt">
                  <v:stroke joinstyle="round" endarrow="classic"/>
                  <v:path arrowok="t"/>
                </v:shape>
                <v:shape id="_x0000_s0155" o:spid="_x0000_s0227" type="#_x0000_t32" style="height:300;left:10023;position:absolute;top:692433;width:0" coordsize="21600,21600" filled="f" stroked="t" strokeweight="1.75pt">
                  <v:stroke joinstyle="bevel" endarrow="classic"/>
                  <v:path arrowok="t"/>
                </v:shape>
                <v:shape id="_x0000_s0156" o:spid="_x0000_s0228" type="#_x0000_t32" style="height:315;left:10023;position:absolute;top:693303;width:15" coordsize="21600,21600" filled="f" stroked="t" strokeweight="1.75pt">
                  <v:stroke joinstyle="bevel" endarrow="classic"/>
                  <v:path arrowok="t"/>
                </v:shape>
              </v:group>
            </v:group>
          </v:group>
        </w:pict>
      </w:r>
      <w:r>
        <w:rPr>
          <w:color w:val="auto"/>
          <w:sz w:val="28"/>
          <w:highlight w:val="none"/>
        </w:rPr>
        <w:pict>
          <v:group id="_x0000_i0157" editas="canvas" o:spid="_x0000_i0229" style="height:673.25pt;width:452.8pt" o:bordertopcolor="this" o:borderleftcolor="this" o:borderbottomcolor="this" o:borderrightcolor="this" coordsize="5750560,8550274">
            <w10:bordertop type="none" width="0"/>
            <w10:borderleft type="none" width="0"/>
            <w10:borderbottom type="none" width="0"/>
            <w10:borderright type="none" width="0"/>
            <v:rect id="_x0000_s0158" o:spid="_x0000_s0230" style="height:8550274;position:absolute;width:5750560" coordsize="21600,21600" filled="f" stroked="f"/>
            <v:shape id="_x0000_s0159" o:spid="_x0000_s0231" type="#_x0000_t202" style="height:353060;left:2129790;position:absolute;top:130810;width:1600200" coordsize="21600,21600" filled="f" stroked="t" strokeweight="1.75pt">
              <v:stroke joinstyle="round"/>
              <v:textbox>
                <w:txbxContent>
                  <w:p>
                    <w:pPr>
                      <w:jc w:val="center"/>
                      <w:rPr>
                        <w:rFonts w:eastAsia="宋体" w:hint="eastAsia"/>
                        <w:lang w:eastAsia="zh-CN"/>
                      </w:rPr>
                    </w:pPr>
                    <w:r>
                      <w:rPr>
                        <w:rFonts w:hint="eastAsia"/>
                        <w:lang w:eastAsia="zh-CN"/>
                      </w:rPr>
                      <w:t xml:space="preserve">事故发生</w:t>
                    </w:r>
                  </w:p>
                </w:txbxContent>
              </v:textbox>
            </v:shape>
            <v:shape id="_x0000_s0160" o:spid="_x0000_s0232" type="#_x0000_t202" style="height:353060;left:2129790;position:absolute;top:768985;width:1600200" coordsize="21600,21600" filled="f" stroked="t" strokeweight="1.75pt">
              <v:stroke joinstyle="round"/>
              <v:textbox>
                <w:txbxContent>
                  <w:p>
                    <w:pPr>
                      <w:jc w:val="center"/>
                      <w:rPr>
                        <w:rFonts w:eastAsia="宋体" w:hint="eastAsia"/>
                        <w:lang w:val="en-US" w:eastAsia="zh-CN"/>
                      </w:rPr>
                    </w:pPr>
                    <w:r>
                      <w:rPr>
                        <w:rFonts w:hint="eastAsia"/>
                        <w:lang w:val="en-US" w:eastAsia="zh-CN"/>
                      </w:rPr>
                      <w:t xml:space="preserve">企业先期处置</w:t>
                    </w:r>
                  </w:p>
                </w:txbxContent>
              </v:textbox>
            </v:shape>
            <v:shape id="_x0000_s0161" o:spid="_x0000_s0233" type="#_x0000_t202" style="height:353060;left:186690;position:absolute;top:1521460;width:1600200" coordsize="21600,21600" filled="f" stroked="t" strokeweight="1.75pt">
              <v:stroke joinstyle="round"/>
              <v:textbox>
                <w:txbxContent>
                  <w:p>
                    <w:pPr>
                      <w:jc w:val="center"/>
                      <w:rPr>
                        <w:rFonts w:eastAsia="宋体" w:hint="eastAsia"/>
                        <w:lang w:val="en-US" w:eastAsia="zh-CN"/>
                      </w:rPr>
                    </w:pPr>
                    <w:r>
                      <w:rPr>
                        <w:rFonts w:hint="eastAsia"/>
                        <w:lang w:val="en-US" w:eastAsia="zh-CN"/>
                      </w:rPr>
                      <w:t xml:space="preserve">县应急管理局</w:t>
                    </w:r>
                  </w:p>
                </w:txbxContent>
              </v:textbox>
            </v:shape>
            <v:shape id="_x0000_s0162" o:spid="_x0000_s0234" type="#_x0000_t202" style="height:353060;left:4025265;position:absolute;top:1511935;width:1600200" coordsize="21600,21600" filled="f" stroked="t" strokeweight="1.75pt">
              <v:stroke joinstyle="round"/>
              <v:textbox>
                <w:txbxContent>
                  <w:p>
                    <w:pPr>
                      <w:jc w:val="center"/>
                      <w:rPr>
                        <w:rFonts w:eastAsia="宋体" w:hint="eastAsia"/>
                        <w:lang w:val="en-US" w:eastAsia="zh-CN"/>
                      </w:rPr>
                    </w:pPr>
                    <w:r>
                      <w:rPr>
                        <w:rFonts w:hint="eastAsia"/>
                        <w:lang w:val="en-US" w:eastAsia="zh-CN"/>
                      </w:rPr>
                      <w:t xml:space="preserve">行业主管部门</w:t>
                    </w:r>
                  </w:p>
                </w:txbxContent>
              </v:textbox>
            </v:shape>
            <v:shape id="_x0000_s0163" o:spid="_x0000_s0235" type="#_x0000_t202" style="height:315595;left:2129790;position:absolute;top:1502410;width:1600200" coordsize="21600,21600" filled="f" stroked="t" strokeweight="1.75pt">
              <v:stroke joinstyle="round"/>
              <v:textbox>
                <w:txbxContent>
                  <w:p>
                    <w:pPr>
                      <w:jc w:val="center"/>
                      <w:rPr>
                        <w:rFonts w:eastAsia="宋体" w:hint="eastAsia"/>
                        <w:lang w:val="en-US" w:eastAsia="zh-CN"/>
                      </w:rPr>
                    </w:pPr>
                    <w:r>
                      <w:rPr>
                        <w:rFonts w:hint="eastAsia"/>
                        <w:lang w:val="en-US" w:eastAsia="zh-CN"/>
                      </w:rPr>
                      <w:t xml:space="preserve">县政府应急办公室</w:t>
                    </w:r>
                  </w:p>
                </w:txbxContent>
              </v:textbox>
            </v:shape>
            <v:line id="_x0000_s0164" o:spid="_x0000_s0236" style="flip:y;position:absolute" from="310515,4980305" to="5463540,4989830" coordsize="21600,21600" stroked="t" strokeweight="1.75pt">
              <v:stroke joinstyle="round"/>
            </v:line>
            <v:shape id="_x0000_s0165" o:spid="_x0000_s0237" type="#_x0000_t202" style="height:505460;left:2158365;position:absolute;top:2007235;width:1600200" coordsize="21600,21600" filled="f" stroked="t" strokeweight="1.75pt">
              <v:stroke joinstyle="round"/>
              <v:textbox>
                <w:txbxContent>
                  <w:p>
                    <w:pPr>
                      <w:jc w:val="center"/>
                      <w:rPr>
                        <w:rFonts w:hint="eastAsia"/>
                        <w:lang w:val="en-US" w:eastAsia="zh-CN"/>
                      </w:rPr>
                    </w:pPr>
                    <w:r>
                      <w:rPr>
                        <w:rFonts w:hint="eastAsia"/>
                        <w:lang w:val="en-US" w:eastAsia="zh-CN"/>
                      </w:rPr>
                      <w:t xml:space="preserve">跟踪事态发展</w:t>
                    </w:r>
                  </w:p>
                  <w:p>
                    <w:pPr>
                      <w:jc w:val="center"/>
                      <w:rPr>
                        <w:rFonts w:hint="eastAsia"/>
                        <w:lang w:val="en-US" w:eastAsia="zh-CN"/>
                      </w:rPr>
                    </w:pPr>
                    <w:r>
                      <w:rPr>
                        <w:rFonts w:hint="eastAsia"/>
                        <w:lang w:val="en-US" w:eastAsia="zh-CN"/>
                      </w:rPr>
                      <w:t xml:space="preserve">研判响应级别</w:t>
                    </w:r>
                  </w:p>
                </w:txbxContent>
              </v:textbox>
            </v:shape>
            <v:line id="_x0000_s0166" o:spid="_x0000_s0238" style="position:absolute" from="996315,1884045" to="996315,2322830" coordsize="21600,21600" stroked="t" strokeweight="1.75pt">
              <v:stroke joinstyle="round"/>
            </v:line>
            <v:line id="_x0000_s0167" o:spid="_x0000_s0239" style="position:absolute" from="4815840,1864995" to="4815840,2256155" coordsize="21600,21600" stroked="t" strokeweight="1.75pt">
              <v:stroke joinstyle="round"/>
            </v:line>
            <v:shape id="_x0000_s0168" o:spid="_x0000_s0240" type="#_x0000_t202" style="height:353060;left:2139315;position:absolute;top:3340735;width:1600200" coordsize="21600,21600" filled="f" stroked="t" strokeweight="1.75pt">
              <v:stroke joinstyle="round"/>
              <v:textbox>
                <w:txbxContent>
                  <w:p>
                    <w:pPr>
                      <w:jc w:val="center"/>
                      <w:rPr>
                        <w:rFonts w:eastAsia="宋体" w:hint="eastAsia"/>
                        <w:lang w:val="en-US" w:eastAsia="zh-CN"/>
                      </w:rPr>
                    </w:pPr>
                    <w:r>
                      <w:rPr>
                        <w:rFonts w:hint="eastAsia"/>
                        <w:lang w:val="en-US" w:eastAsia="zh-CN"/>
                      </w:rPr>
                      <w:t xml:space="preserve">县安委会应急响应</w:t>
                    </w:r>
                  </w:p>
                </w:txbxContent>
              </v:textbox>
            </v:shape>
            <v:shape id="_x0000_s0169" o:spid="_x0000_s0241" type="#_x0000_t202" style="height:353060;left:2167890;position:absolute;top:2769235;width:1600200" coordsize="21600,21600" filled="f" stroked="t" strokeweight="1.75pt">
              <v:stroke joinstyle="round"/>
              <v:textbox>
                <w:txbxContent>
                  <w:p>
                    <w:pPr>
                      <w:jc w:val="center"/>
                      <w:rPr>
                        <w:rFonts w:eastAsia="宋体" w:hint="eastAsia"/>
                        <w:lang w:val="en-US" w:eastAsia="zh-CN"/>
                      </w:rPr>
                    </w:pPr>
                    <w:r>
                      <w:rPr>
                        <w:rFonts w:hint="eastAsia"/>
                        <w:lang w:val="en-US" w:eastAsia="zh-CN"/>
                      </w:rPr>
                      <w:t xml:space="preserve">行政主管部门应急响应</w:t>
                    </w:r>
                  </w:p>
                </w:txbxContent>
              </v:textbox>
            </v:shape>
            <v:shape id="_x0000_s0170" o:spid="_x0000_s0242" type="#_x0000_t202" style="height:353060;left:4082415;position:absolute;top:3321685;width:1600200" coordsize="21600,21600" filled="f" stroked="t" strokeweight="1.75pt">
              <v:stroke joinstyle="round"/>
              <v:textbox>
                <w:txbxContent>
                  <w:p>
                    <w:pPr>
                      <w:jc w:val="center"/>
                      <w:rPr>
                        <w:rFonts w:eastAsia="宋体" w:hint="eastAsia"/>
                        <w:lang w:val="en-US" w:eastAsia="zh-CN"/>
                      </w:rPr>
                    </w:pPr>
                    <w:r>
                      <w:rPr>
                        <w:rFonts w:hint="eastAsia"/>
                        <w:lang w:val="en-US" w:eastAsia="zh-CN"/>
                      </w:rPr>
                      <w:t xml:space="preserve">资源调拨</w:t>
                    </w:r>
                  </w:p>
                </w:txbxContent>
              </v:textbox>
            </v:shape>
            <v:shape id="_x0000_s0171" o:spid="_x0000_s0243" type="#_x0000_t202" style="height:353060;left:167640;position:absolute;top:3340735;width:1600200" coordsize="21600,21600" filled="f" stroked="t" strokeweight="1.75pt">
              <v:stroke joinstyle="round"/>
              <v:textbox>
                <w:txbxContent>
                  <w:p>
                    <w:pPr>
                      <w:jc w:val="center"/>
                      <w:rPr>
                        <w:rFonts w:eastAsia="宋体" w:hint="eastAsia"/>
                        <w:lang w:val="en-US" w:eastAsia="zh-CN"/>
                      </w:rPr>
                    </w:pPr>
                    <w:r>
                      <w:rPr>
                        <w:rFonts w:hint="eastAsia"/>
                        <w:lang w:val="en-US" w:eastAsia="zh-CN"/>
                      </w:rPr>
                      <w:t xml:space="preserve">协调、指挥</w:t>
                    </w:r>
                  </w:p>
                </w:txbxContent>
              </v:textbox>
            </v:shape>
            <v:line id="_x0000_s0172" o:spid="_x0000_s0244" style="flip:x;position:absolute" from="1767840,3517265" to="2139315,3517265" coordsize="21600,21600" stroked="t" strokeweight="1.75pt">
              <v:stroke joinstyle="round"/>
            </v:line>
            <v:line id="_x0000_s0173" o:spid="_x0000_s0245" style="flip:x;position:absolute" from="3739514,3488690" to="4091939,3488690" coordsize="21600,21600" stroked="t" strokeweight="1.75pt">
              <v:stroke joinstyle="round"/>
            </v:line>
            <v:shape id="_x0000_s0174" o:spid="_x0000_s0246" type="#_x0000_t202" style="height:353060;left:2025650;position:absolute;top:3893185;width:1780540" coordsize="21600,21600" filled="f" stroked="t" strokeweight="1.75pt">
              <v:stroke joinstyle="round"/>
              <v:textbox>
                <w:txbxContent>
                  <w:p>
                    <w:pPr>
                      <w:jc w:val="center"/>
                      <w:rPr>
                        <w:rFonts w:eastAsia="宋体" w:hint="eastAsia"/>
                        <w:lang w:val="en-US" w:eastAsia="zh-CN"/>
                      </w:rPr>
                    </w:pPr>
                    <w:r>
                      <w:rPr>
                        <w:rFonts w:hint="eastAsia"/>
                        <w:lang w:val="en-US" w:eastAsia="zh-CN"/>
                      </w:rPr>
                      <w:t xml:space="preserve">成立现场指挥部</w:t>
                    </w:r>
                  </w:p>
                </w:txbxContent>
              </v:textbox>
            </v:shape>
            <v:line id="_x0000_s0175" o:spid="_x0000_s0247" style="flip:x;position:absolute" from="939165,3703955" to="948690,4113530" coordsize="21600,21600" stroked="t" strokeweight="1.75pt">
              <v:stroke joinstyle="round"/>
            </v:line>
            <v:line id="_x0000_s0176" o:spid="_x0000_s0248" style="flip:x;position:absolute" from="4844415,3703955" to="4853940,4075430" coordsize="21600,21600" stroked="t" strokeweight="1.75pt">
              <v:stroke joinstyle="round"/>
            </v:line>
            <v:shape id="_x0000_s0177" o:spid="_x0000_s0249" type="#_x0000_t202" style="height:353060;left:2073275;position:absolute;top:4455160;width:1780540" coordsize="21600,21600" filled="f" stroked="t" strokeweight="1.75pt">
              <v:stroke joinstyle="round"/>
              <v:textbox>
                <w:txbxContent>
                  <w:p>
                    <w:pPr>
                      <w:jc w:val="center"/>
                      <w:rPr>
                        <w:rFonts w:eastAsia="宋体" w:hint="eastAsia"/>
                        <w:lang w:val="en-US" w:eastAsia="zh-CN"/>
                      </w:rPr>
                    </w:pPr>
                    <w:r>
                      <w:rPr>
                        <w:rFonts w:hint="eastAsia"/>
                        <w:lang w:val="en-US" w:eastAsia="zh-CN"/>
                      </w:rPr>
                      <w:t xml:space="preserve">应急救援</w:t>
                    </w:r>
                  </w:p>
                </w:txbxContent>
              </v:textbox>
            </v:shape>
            <v:line id="_x0000_s0178" o:spid="_x0000_s0250" style="flip:y;position:absolute" from="986790,1236980" to="4815840,1246505" coordsize="21600,21600" stroked="t" strokeweight="1.75pt">
              <v:stroke joinstyle="round"/>
            </v:line>
            <v:shape id="_x0000_s0179" o:spid="_x0000_s0251" type="#_x0000_t202" style="height:828675;left:120650;position:absolute;top:5189855;width:380365" coordsize="21600,21600" filled="f" stroked="t" strokeweight="1.75pt">
              <v:stroke joinstyle="round"/>
              <v:textbox style="layout-flow:vertical-ideographic">
                <w:txbxContent>
                  <w:p>
                    <w:pPr>
                      <w:jc w:val="center"/>
                      <w:rPr>
                        <w:rFonts w:eastAsia="宋体" w:hint="eastAsia"/>
                        <w:lang w:val="en-US" w:eastAsia="zh-CN"/>
                      </w:rPr>
                    </w:pPr>
                    <w:r>
                      <w:rPr>
                        <w:rFonts w:hint="eastAsia"/>
                        <w:lang w:val="en-US" w:eastAsia="zh-CN"/>
                      </w:rPr>
                      <w:t xml:space="preserve">保卫警戒</w:t>
                    </w:r>
                  </w:p>
                </w:txbxContent>
              </v:textbox>
            </v:shape>
            <v:shape id="_x0000_s0180" o:spid="_x0000_s0252" type="#_x0000_t202" style="height:828675;left:910589;position:absolute;top:5208905;width:390525" coordsize="21600,21600" filled="f" stroked="t" strokeweight="1.75pt">
              <v:stroke joinstyle="round"/>
              <v:textbox style="layout-flow:vertical-ideographic">
                <w:txbxContent>
                  <w:p>
                    <w:pPr>
                      <w:jc w:val="center"/>
                      <w:rPr>
                        <w:rFonts w:eastAsia="宋体" w:hint="eastAsia"/>
                        <w:lang w:val="en-US" w:eastAsia="zh-CN"/>
                      </w:rPr>
                    </w:pPr>
                    <w:r>
                      <w:rPr>
                        <w:rFonts w:hint="eastAsia"/>
                        <w:lang w:val="en-US" w:eastAsia="zh-CN"/>
                      </w:rPr>
                      <w:t xml:space="preserve">环境监测</w:t>
                    </w:r>
                  </w:p>
                </w:txbxContent>
              </v:textbox>
            </v:shape>
            <v:shape id="_x0000_s0181" o:spid="_x0000_s0253" type="#_x0000_t202" style="height:828675;left:2072640;position:absolute;top:5208905;width:428625" coordsize="21600,21600" filled="f" stroked="t" strokeweight="1.75pt">
              <v:stroke joinstyle="round"/>
              <v:textbox style="layout-flow:vertical-ideographic">
                <w:txbxContent>
                  <w:p>
                    <w:pPr>
                      <w:jc w:val="center"/>
                      <w:rPr>
                        <w:rFonts w:eastAsia="宋体" w:hint="eastAsia"/>
                        <w:lang w:val="en-US" w:eastAsia="zh-CN"/>
                      </w:rPr>
                    </w:pPr>
                    <w:r>
                      <w:rPr>
                        <w:rFonts w:hint="eastAsia"/>
                        <w:lang w:val="en-US" w:eastAsia="zh-CN"/>
                      </w:rPr>
                      <w:t xml:space="preserve">人员救护</w:t>
                    </w:r>
                  </w:p>
                </w:txbxContent>
              </v:textbox>
            </v:shape>
            <v:shape id="_x0000_s0182" o:spid="_x0000_s0254" type="#_x0000_t202" style="height:828675;left:3168015;position:absolute;top:5180330;width:428625" coordsize="21600,21600" filled="f" stroked="t" strokeweight="1.75pt">
              <v:stroke joinstyle="round"/>
              <v:textbox style="layout-flow:vertical-ideographic">
                <w:txbxContent>
                  <w:p>
                    <w:pPr>
                      <w:jc w:val="center"/>
                      <w:rPr>
                        <w:rFonts w:eastAsia="宋体" w:hint="eastAsia"/>
                        <w:lang w:val="en-US" w:eastAsia="zh-CN"/>
                      </w:rPr>
                    </w:pPr>
                    <w:r>
                      <w:rPr>
                        <w:rFonts w:hint="eastAsia"/>
                        <w:lang w:val="en-US" w:eastAsia="zh-CN"/>
                      </w:rPr>
                      <w:t xml:space="preserve">抢险救灾</w:t>
                    </w:r>
                  </w:p>
                </w:txbxContent>
              </v:textbox>
            </v:shape>
            <v:shape id="_x0000_s0183" o:spid="_x0000_s0255" type="#_x0000_t202" style="height:828675;left:4101465;position:absolute;top:5180330;width:428625" coordsize="21600,21600" filled="f" stroked="t" strokeweight="1.75pt">
              <v:stroke joinstyle="round"/>
              <v:textbox style="layout-flow:vertical-ideographic">
                <w:txbxContent>
                  <w:p>
                    <w:pPr>
                      <w:jc w:val="center"/>
                      <w:rPr>
                        <w:rFonts w:eastAsia="宋体" w:hint="eastAsia"/>
                        <w:lang w:val="en-US" w:eastAsia="zh-CN"/>
                      </w:rPr>
                    </w:pPr>
                    <w:r>
                      <w:rPr>
                        <w:rFonts w:hint="eastAsia"/>
                        <w:lang w:val="en-US" w:eastAsia="zh-CN"/>
                      </w:rPr>
                      <w:t xml:space="preserve">疏散安置</w:t>
                    </w:r>
                  </w:p>
                </w:txbxContent>
              </v:textbox>
            </v:shape>
            <v:shape id="_x0000_s0184" o:spid="_x0000_s0256" type="#_x0000_t202" style="height:828675;left:5244465;position:absolute;top:5189855;width:428625" coordsize="21600,21600" filled="f" stroked="t" strokeweight="1.75pt">
              <v:stroke joinstyle="round"/>
              <v:textbox style="layout-flow:vertical-ideographic">
                <w:txbxContent>
                  <w:p>
                    <w:pPr>
                      <w:jc w:val="center"/>
                      <w:rPr>
                        <w:rFonts w:eastAsia="宋体" w:hint="eastAsia"/>
                        <w:lang w:val="en-US" w:eastAsia="zh-CN"/>
                      </w:rPr>
                    </w:pPr>
                    <w:r>
                      <w:rPr>
                        <w:rFonts w:hint="eastAsia"/>
                        <w:lang w:val="en-US" w:eastAsia="zh-CN"/>
                      </w:rPr>
                      <w:t xml:space="preserve">后勤保障</w:t>
                    </w:r>
                  </w:p>
                </w:txbxContent>
              </v:textbox>
            </v:shape>
            <v:line id="_x0000_s0185" o:spid="_x0000_s0257" style="flip:y;position:absolute" from="281940,6209030" to="5434965,6218555" coordsize="21600,21600" stroked="t" strokeweight="1.75pt">
              <v:stroke joinstyle="round"/>
            </v:line>
            <v:shape id="_x0000_s0186" o:spid="_x0000_s0258" type="#_x0000_t202" style="height:353060;left:2111375;position:absolute;top:6369685;width:1780540" coordsize="21600,21600" filled="f" stroked="t" strokeweight="1.75pt">
              <v:stroke joinstyle="round"/>
              <v:textbox>
                <w:txbxContent>
                  <w:p>
                    <w:pPr>
                      <w:jc w:val="center"/>
                      <w:rPr>
                        <w:rFonts w:eastAsia="宋体" w:hint="eastAsia"/>
                        <w:lang w:val="en-US" w:eastAsia="zh-CN"/>
                      </w:rPr>
                    </w:pPr>
                    <w:r>
                      <w:rPr>
                        <w:rFonts w:hint="eastAsia"/>
                        <w:lang w:val="en-US" w:eastAsia="zh-CN"/>
                      </w:rPr>
                      <w:t xml:space="preserve">扩大应急</w:t>
                    </w:r>
                  </w:p>
                </w:txbxContent>
              </v:textbox>
            </v:shape>
            <v:shape id="_x0000_s0187" o:spid="_x0000_s0259" type="#_x0000_t202" style="height:476250;left:2092324;position:absolute;top:6931660;width:1780540" coordsize="21600,21600" filled="f" stroked="t" strokeweight="1.75pt">
              <v:stroke joinstyle="round"/>
              <v:textbox>
                <w:txbxContent>
                  <w:p>
                    <w:pPr>
                      <w:jc w:val="center"/>
                      <w:rPr>
                        <w:rFonts w:hint="eastAsia"/>
                        <w:lang w:val="en-US" w:eastAsia="zh-CN"/>
                      </w:rPr>
                    </w:pPr>
                    <w:r>
                      <w:rPr>
                        <w:rFonts w:hint="eastAsia"/>
                        <w:lang w:val="en-US" w:eastAsia="zh-CN"/>
                      </w:rPr>
                      <w:t xml:space="preserve">移交指挥权</w:t>
                    </w:r>
                  </w:p>
                  <w:p>
                    <w:pPr>
                      <w:jc w:val="center"/>
                      <w:rPr>
                        <w:rFonts w:hint="eastAsia"/>
                        <w:lang w:val="en-US" w:eastAsia="zh-CN"/>
                      </w:rPr>
                    </w:pPr>
                    <w:r>
                      <w:rPr>
                        <w:rFonts w:hint="eastAsia"/>
                        <w:lang w:val="en-US" w:eastAsia="zh-CN"/>
                      </w:rPr>
                      <w:t xml:space="preserve">配合上级应急救援</w:t>
                    </w:r>
                  </w:p>
                </w:txbxContent>
              </v:textbox>
            </v:shape>
            <v:shape id="_x0000_s0188" o:spid="_x0000_s0260" type="#_x0000_t202" style="height:353060;left:2073275;position:absolute;top:7636510;width:1780540" coordsize="21600,21600" filled="f" stroked="t" strokeweight="1.75pt">
              <v:stroke joinstyle="round"/>
              <v:textbox>
                <w:txbxContent>
                  <w:p>
                    <w:pPr>
                      <w:jc w:val="center"/>
                      <w:rPr>
                        <w:rFonts w:eastAsia="宋体" w:hint="eastAsia"/>
                        <w:lang w:val="en-US" w:eastAsia="zh-CN"/>
                      </w:rPr>
                    </w:pPr>
                    <w:r>
                      <w:rPr>
                        <w:rFonts w:hint="eastAsia"/>
                        <w:lang w:val="en-US" w:eastAsia="zh-CN"/>
                      </w:rPr>
                      <w:t xml:space="preserve">应急结束</w:t>
                    </w:r>
                  </w:p>
                </w:txbxContent>
              </v:textbox>
            </v:shape>
            <v:shape id="_x0000_s0189" o:spid="_x0000_s0261" type="#_x0000_t202" style="height:353060;left:2073275;position:absolute;top:8141335;width:1780540" coordsize="21600,21600" filled="f" stroked="t" strokeweight="1.75pt">
              <v:stroke joinstyle="round"/>
              <v:textbox>
                <w:txbxContent>
                  <w:p>
                    <w:pPr>
                      <w:jc w:val="center"/>
                      <w:rPr>
                        <w:rFonts w:eastAsia="宋体" w:hint="eastAsia"/>
                        <w:lang w:val="en-US" w:eastAsia="zh-CN"/>
                      </w:rPr>
                    </w:pPr>
                    <w:r>
                      <w:rPr>
                        <w:rFonts w:hint="eastAsia"/>
                        <w:lang w:val="en-US" w:eastAsia="zh-CN"/>
                      </w:rPr>
                      <w:t xml:space="preserve">后期处置</w:t>
                    </w:r>
                  </w:p>
                </w:txbxContent>
              </v:textbox>
            </v:shape>
            <w10:anchorlock/>
          </v:group>
        </w:pict>
      </w:r>
    </w:p>
    <w:p>
      <w:pPr>
        <w:widowControl/>
        <w:shd w:val="clear" w:color="auto" w:fill="FFFFFF"/>
        <w:jc w:val="left"/>
        <w:rPr>
          <w:rFonts w:ascii="黑体" w:eastAsia="黑体" w:hAnsi="黑体" w:cs="宋体"/>
          <w:color w:val="auto"/>
          <w:kern w:val="0"/>
          <w:sz w:val="32"/>
          <w:szCs w:val="32"/>
          <w:highlight w:val="none"/>
        </w:rPr>
      </w:pPr>
      <w:bookmarkStart w:id="212" w:name="_Toc14845_WPSOffice_Level2"/>
      <w:bookmarkStart w:id="213" w:name="_Toc30475"/>
      <w:r>
        <w:rPr>
          <w:rFonts w:ascii="黑体" w:eastAsia="黑体" w:hAnsi="黑体" w:cs="宋体" w:hint="eastAsia"/>
          <w:color w:val="auto"/>
          <w:kern w:val="0"/>
          <w:sz w:val="32"/>
          <w:szCs w:val="32"/>
          <w:highlight w:val="none"/>
        </w:rPr>
        <w:t xml:space="preserve">附件2：</w:t>
      </w:r>
      <w:bookmarkEnd w:id="212"/>
      <w:bookmarkEnd w:id="213"/>
      <w:r>
        <w:rPr>
          <w:rFonts w:ascii="黑体" w:eastAsia="黑体" w:hAnsi="黑体" w:cs="宋体" w:hint="eastAsia"/>
          <w:color w:val="auto"/>
          <w:kern w:val="0"/>
          <w:sz w:val="32"/>
          <w:szCs w:val="32"/>
          <w:highlight w:val="none"/>
        </w:rPr>
        <w:t xml:space="preserve"> 危化学品应急领导小组成员单位联系电话</w:t>
      </w:r>
    </w:p>
    <w:tbl>
      <w:tblPr>
        <w:tblStyle w:val="TableNormal"/>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343"/>
        <w:gridCol w:w="3952"/>
        <w:gridCol w:w="2331"/>
        <w:gridCol w:w="1728"/>
      </w:tblGrid>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jc w:val="center"/>
              <w:rPr>
                <w:rFonts w:ascii="仿宋" w:eastAsia="仿宋" w:hAnsi="仿宋" w:cs="仿宋" w:hint="eastAsia"/>
                <w:b/>
                <w:bCs/>
                <w:color w:val="auto"/>
                <w:sz w:val="21"/>
                <w:szCs w:val="21"/>
                <w:highlight w:val="none"/>
              </w:rPr>
            </w:pPr>
            <w:r>
              <w:rPr>
                <w:rFonts w:ascii="仿宋" w:eastAsia="仿宋" w:hAnsi="仿宋" w:cs="仿宋" w:hint="eastAsia"/>
                <w:b/>
                <w:bCs/>
                <w:color w:val="auto"/>
                <w:sz w:val="21"/>
                <w:szCs w:val="21"/>
                <w:highlight w:val="none"/>
              </w:rPr>
              <w:t xml:space="preserve">序号</w:t>
            </w:r>
          </w:p>
        </w:tc>
        <w:tc>
          <w:tcPr>
            <w:tcW w:w="3952" w:type="dxa"/>
            <w:tcBorders>
              <w:left w:val="single" w:sz="8" w:space="0" w:color="auto"/>
            </w:tcBorders>
            <w:vAlign w:val="center"/>
          </w:tcPr>
          <w:p>
            <w:pPr>
              <w:jc w:val="center"/>
              <w:rPr>
                <w:rFonts w:ascii="仿宋" w:eastAsia="仿宋" w:hAnsi="仿宋" w:cs="仿宋" w:hint="eastAsia"/>
                <w:b/>
                <w:bCs/>
                <w:color w:val="auto"/>
                <w:sz w:val="21"/>
                <w:szCs w:val="21"/>
                <w:highlight w:val="none"/>
              </w:rPr>
            </w:pPr>
            <w:r>
              <w:rPr>
                <w:rFonts w:ascii="仿宋" w:eastAsia="仿宋" w:hAnsi="仿宋" w:cs="仿宋" w:hint="eastAsia"/>
                <w:b/>
                <w:bCs/>
                <w:color w:val="auto"/>
                <w:sz w:val="21"/>
                <w:szCs w:val="21"/>
                <w:highlight w:val="none"/>
              </w:rPr>
              <w:t xml:space="preserve">部  门</w:t>
            </w:r>
          </w:p>
        </w:tc>
        <w:tc>
          <w:tcPr>
            <w:tcW w:w="2331" w:type="dxa"/>
            <w:tcBorders>
              <w:right w:val="single" w:sz="8" w:space="0" w:color="auto"/>
            </w:tcBorders>
            <w:vAlign w:val="center"/>
          </w:tcPr>
          <w:p>
            <w:pPr>
              <w:jc w:val="center"/>
              <w:rPr>
                <w:rFonts w:ascii="仿宋" w:eastAsia="仿宋" w:hAnsi="仿宋" w:cs="仿宋" w:hint="eastAsia"/>
                <w:b/>
                <w:bCs/>
                <w:color w:val="auto"/>
                <w:sz w:val="21"/>
                <w:szCs w:val="21"/>
                <w:highlight w:val="none"/>
              </w:rPr>
            </w:pPr>
            <w:r>
              <w:rPr>
                <w:rFonts w:ascii="仿宋" w:eastAsia="仿宋" w:hAnsi="仿宋" w:cs="仿宋" w:hint="eastAsia"/>
                <w:b/>
                <w:bCs/>
                <w:color w:val="auto"/>
                <w:sz w:val="21"/>
                <w:szCs w:val="21"/>
                <w:highlight w:val="none"/>
              </w:rPr>
              <w:t xml:space="preserve">电  话</w:t>
            </w:r>
          </w:p>
        </w:tc>
        <w:tc>
          <w:tcPr>
            <w:tcW w:w="1728" w:type="dxa"/>
            <w:tcBorders>
              <w:right w:val="single" w:sz="8" w:space="0" w:color="auto"/>
            </w:tcBorders>
            <w:vAlign w:val="center"/>
          </w:tcPr>
          <w:p>
            <w:pPr>
              <w:jc w:val="center"/>
              <w:rPr>
                <w:rFonts w:ascii="仿宋" w:eastAsia="仿宋" w:hAnsi="仿宋" w:cs="仿宋" w:hint="eastAsia"/>
                <w:b/>
                <w:bCs/>
                <w:color w:val="auto"/>
                <w:sz w:val="21"/>
                <w:szCs w:val="21"/>
                <w:highlight w:val="none"/>
              </w:rPr>
            </w:pPr>
            <w:r>
              <w:rPr>
                <w:rFonts w:ascii="仿宋" w:eastAsia="仿宋" w:hAnsi="仿宋" w:cs="仿宋" w:hint="eastAsia"/>
                <w:b/>
                <w:bCs/>
                <w:color w:val="auto"/>
                <w:sz w:val="21"/>
                <w:szCs w:val="21"/>
                <w:highlight w:val="none"/>
              </w:rPr>
              <w:t xml:space="preserve">备注</w:t>
            </w: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县纪委监委</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0971-2232369</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kern w:val="2"/>
                <w:sz w:val="21"/>
                <w:szCs w:val="21"/>
                <w:highlight w:val="none"/>
                <w:lang w:val="en-US" w:eastAsia="zh-CN" w:bidi="ar-SA"/>
              </w:rPr>
            </w:pPr>
            <w:r>
              <w:rPr>
                <w:rFonts w:ascii="仿宋" w:eastAsia="仿宋" w:hAnsi="仿宋" w:cs="仿宋" w:hint="eastAsia"/>
                <w:color w:val="auto"/>
                <w:sz w:val="21"/>
                <w:szCs w:val="21"/>
                <w:highlight w:val="none"/>
              </w:rPr>
              <w:t xml:space="preserve">县委宣传部</w:t>
            </w:r>
          </w:p>
        </w:tc>
        <w:tc>
          <w:tcPr>
            <w:tcW w:w="2331" w:type="dxa"/>
            <w:tcBorders>
              <w:right w:val="single" w:sz="8" w:space="0" w:color="auto"/>
            </w:tcBorders>
            <w:vAlign w:val="center"/>
          </w:tcPr>
          <w:p>
            <w:pPr>
              <w:jc w:val="center"/>
              <w:rPr>
                <w:rFonts w:ascii="仿宋" w:eastAsia="仿宋" w:hAnsi="仿宋" w:cs="仿宋" w:hint="eastAsia"/>
                <w:color w:val="auto"/>
                <w:kern w:val="2"/>
                <w:sz w:val="21"/>
                <w:szCs w:val="21"/>
                <w:highlight w:val="none"/>
                <w:lang w:val="en-US" w:eastAsia="zh-CN" w:bidi="ar-SA"/>
              </w:rPr>
            </w:pPr>
            <w:r>
              <w:rPr>
                <w:rFonts w:ascii="仿宋" w:eastAsia="仿宋" w:hAnsi="仿宋" w:cs="仿宋" w:hint="eastAsia"/>
                <w:color w:val="auto"/>
                <w:sz w:val="21"/>
                <w:szCs w:val="21"/>
                <w:highlight w:val="none"/>
              </w:rPr>
              <w:t xml:space="preserve">0971</w:t>
            </w:r>
            <w:r>
              <w:rPr>
                <w:rFonts w:ascii="仿宋" w:eastAsia="仿宋" w:hAnsi="仿宋" w:cs="仿宋" w:hint="eastAsia"/>
                <w:color w:val="auto"/>
                <w:sz w:val="21"/>
                <w:szCs w:val="21"/>
                <w:highlight w:val="none"/>
                <w:lang w:eastAsia="zh-CN"/>
              </w:rPr>
              <w:t xml:space="preserve">-</w:t>
            </w:r>
            <w:r>
              <w:rPr>
                <w:rFonts w:ascii="仿宋" w:eastAsia="仿宋" w:hAnsi="仿宋" w:cs="仿宋" w:hint="eastAsia"/>
                <w:color w:val="auto"/>
                <w:sz w:val="21"/>
                <w:szCs w:val="21"/>
                <w:highlight w:val="none"/>
              </w:rPr>
              <w:t xml:space="preserve">2232149</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县人民武装部</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0971-7392368</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县应急管理局</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w:t>
            </w:r>
            <w:r>
              <w:rPr>
                <w:rFonts w:ascii="仿宋" w:eastAsia="仿宋" w:hAnsi="仿宋" w:cs="仿宋" w:hint="eastAsia"/>
                <w:color w:val="auto"/>
                <w:sz w:val="21"/>
                <w:szCs w:val="21"/>
                <w:highlight w:val="none"/>
                <w:lang w:eastAsia="zh-CN"/>
              </w:rPr>
              <w:t xml:space="preserve">-</w:t>
            </w:r>
            <w:r>
              <w:rPr>
                <w:rFonts w:ascii="仿宋" w:eastAsia="仿宋" w:hAnsi="仿宋" w:cs="仿宋" w:hint="eastAsia"/>
                <w:color w:val="auto"/>
                <w:sz w:val="21"/>
                <w:szCs w:val="21"/>
                <w:highlight w:val="none"/>
              </w:rPr>
              <w:t xml:space="preserve">2232249</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kern w:val="2"/>
                <w:sz w:val="21"/>
                <w:szCs w:val="21"/>
                <w:highlight w:val="none"/>
                <w:lang w:val="en-US" w:eastAsia="zh-CN" w:bidi="ar-SA"/>
              </w:rPr>
            </w:pPr>
            <w:r>
              <w:rPr>
                <w:rFonts w:ascii="仿宋" w:eastAsia="仿宋" w:hAnsi="仿宋" w:cs="仿宋" w:hint="eastAsia"/>
                <w:color w:val="auto"/>
                <w:sz w:val="21"/>
                <w:szCs w:val="21"/>
                <w:highlight w:val="none"/>
              </w:rPr>
              <w:t xml:space="preserve">县政府办公室</w:t>
            </w:r>
          </w:p>
        </w:tc>
        <w:tc>
          <w:tcPr>
            <w:tcW w:w="2331" w:type="dxa"/>
            <w:tcBorders>
              <w:right w:val="single" w:sz="8" w:space="0" w:color="auto"/>
            </w:tcBorders>
            <w:vAlign w:val="center"/>
          </w:tcPr>
          <w:p>
            <w:pPr>
              <w:jc w:val="center"/>
              <w:rPr>
                <w:rFonts w:ascii="仿宋" w:eastAsia="仿宋" w:hAnsi="仿宋" w:cs="仿宋" w:hint="eastAsia"/>
                <w:color w:val="auto"/>
                <w:kern w:val="2"/>
                <w:sz w:val="21"/>
                <w:szCs w:val="21"/>
                <w:highlight w:val="none"/>
                <w:lang w:val="en-US" w:eastAsia="zh-CN" w:bidi="ar-SA"/>
              </w:rPr>
            </w:pPr>
            <w:r>
              <w:rPr>
                <w:rFonts w:ascii="仿宋" w:eastAsia="仿宋" w:hAnsi="仿宋" w:cs="仿宋" w:hint="eastAsia"/>
                <w:color w:val="auto"/>
                <w:sz w:val="21"/>
                <w:szCs w:val="21"/>
                <w:highlight w:val="none"/>
              </w:rPr>
              <w:t xml:space="preserve">0971</w:t>
            </w:r>
            <w:r>
              <w:rPr>
                <w:rFonts w:ascii="仿宋" w:eastAsia="仿宋" w:hAnsi="仿宋" w:cs="仿宋" w:hint="eastAsia"/>
                <w:color w:val="auto"/>
                <w:sz w:val="21"/>
                <w:szCs w:val="21"/>
                <w:highlight w:val="none"/>
                <w:lang w:eastAsia="zh-CN"/>
              </w:rPr>
              <w:t xml:space="preserve">-</w:t>
            </w:r>
            <w:r>
              <w:rPr>
                <w:rFonts w:ascii="仿宋" w:eastAsia="仿宋" w:hAnsi="仿宋" w:cs="仿宋" w:hint="eastAsia"/>
                <w:color w:val="auto"/>
                <w:sz w:val="21"/>
                <w:szCs w:val="21"/>
                <w:highlight w:val="none"/>
              </w:rPr>
              <w:t xml:space="preserve">2232176</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县公安局</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0971-2272808</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县生态环境局</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0971-2232340</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县气象局</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0971-2232348</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县自然资源局</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0971-2232175</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县卫生健康局</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0971-2233710</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县市场监督管理局</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0971-2235315</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县民政局</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0971-2232157</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县财政局</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0971-2233194</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县发展和改革局</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0971-2232266</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县人力资源和社会保障局</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0971-2232281</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县住房和城乡建设局</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0971-2232310</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县交通运输局</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0971-2232174</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县水利局</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0971-2237072</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县农业农村局</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0971-2232257</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县教育局</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0971-2232309</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adjustRightInd w:val="0"/>
              <w:snapToGrid w:val="0"/>
              <w:jc w:val="center"/>
              <w:rPr>
                <w:rFonts w:ascii="仿宋" w:eastAsia="仿宋" w:hAnsi="仿宋" w:cs="仿宋" w:hint="eastAsia"/>
                <w:color w:val="auto"/>
                <w:kern w:val="2"/>
                <w:sz w:val="21"/>
                <w:szCs w:val="21"/>
                <w:highlight w:val="none"/>
                <w:lang w:val="en-US" w:eastAsia="zh-CN" w:bidi="ar-SA"/>
              </w:rPr>
            </w:pPr>
            <w:r>
              <w:rPr>
                <w:rFonts w:ascii="仿宋" w:eastAsia="仿宋" w:hAnsi="仿宋" w:cs="仿宋" w:hint="eastAsia"/>
                <w:color w:val="auto"/>
                <w:sz w:val="21"/>
                <w:szCs w:val="21"/>
                <w:highlight w:val="none"/>
              </w:rPr>
              <w:t xml:space="preserve">县消防救援大队</w:t>
            </w:r>
          </w:p>
        </w:tc>
        <w:tc>
          <w:tcPr>
            <w:tcW w:w="2331" w:type="dxa"/>
            <w:tcBorders>
              <w:right w:val="single" w:sz="8" w:space="0" w:color="auto"/>
            </w:tcBorders>
            <w:vAlign w:val="center"/>
          </w:tcPr>
          <w:p>
            <w:pPr>
              <w:adjustRightInd w:val="0"/>
              <w:snapToGrid w:val="0"/>
              <w:jc w:val="center"/>
              <w:rPr>
                <w:rFonts w:ascii="仿宋" w:eastAsia="仿宋" w:hAnsi="仿宋" w:cs="仿宋" w:hint="eastAsia"/>
                <w:color w:val="auto"/>
                <w:kern w:val="2"/>
                <w:sz w:val="21"/>
                <w:szCs w:val="21"/>
                <w:highlight w:val="none"/>
                <w:lang w:val="en-US" w:eastAsia="zh-CN" w:bidi="ar-SA"/>
              </w:rPr>
            </w:pPr>
            <w:r>
              <w:rPr>
                <w:rFonts w:ascii="仿宋" w:eastAsia="仿宋" w:hAnsi="仿宋" w:cs="仿宋" w:hint="eastAsia"/>
                <w:color w:val="auto"/>
                <w:sz w:val="21"/>
                <w:szCs w:val="21"/>
                <w:highlight w:val="none"/>
              </w:rPr>
              <w:t xml:space="preserve">0971</w:t>
            </w:r>
            <w:r>
              <w:rPr>
                <w:rFonts w:ascii="仿宋" w:eastAsia="仿宋" w:hAnsi="仿宋" w:cs="仿宋" w:hint="eastAsia"/>
                <w:color w:val="auto"/>
                <w:sz w:val="21"/>
                <w:szCs w:val="21"/>
                <w:highlight w:val="none"/>
                <w:lang w:eastAsia="zh-CN"/>
              </w:rPr>
              <w:t xml:space="preserve">-</w:t>
            </w:r>
            <w:r>
              <w:rPr>
                <w:rFonts w:ascii="仿宋" w:eastAsia="仿宋" w:hAnsi="仿宋" w:cs="仿宋" w:hint="eastAsia"/>
                <w:color w:val="auto"/>
                <w:sz w:val="21"/>
                <w:szCs w:val="21"/>
                <w:highlight w:val="none"/>
              </w:rPr>
              <w:t xml:space="preserve">2235119</w:t>
            </w:r>
          </w:p>
        </w:tc>
        <w:tc>
          <w:tcPr>
            <w:tcW w:w="1728" w:type="dxa"/>
            <w:tcBorders>
              <w:right w:val="single" w:sz="8" w:space="0" w:color="auto"/>
            </w:tcBorders>
            <w:vAlign w:val="center"/>
          </w:tcPr>
          <w:p>
            <w:pPr>
              <w:jc w:val="center"/>
              <w:rPr>
                <w:rFonts w:ascii="仿宋" w:eastAsia="仿宋" w:hAnsi="仿宋" w:cs="仿宋" w:hint="eastAsia"/>
                <w:color w:val="auto"/>
                <w:kern w:val="2"/>
                <w:sz w:val="21"/>
                <w:szCs w:val="21"/>
                <w:highlight w:val="none"/>
                <w:lang w:val="en-US" w:eastAsia="zh-CN" w:bidi="ar-SA"/>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县总工会</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w:t>
            </w:r>
            <w:r>
              <w:rPr>
                <w:rFonts w:ascii="仿宋" w:eastAsia="仿宋" w:hAnsi="仿宋" w:cs="仿宋" w:hint="eastAsia"/>
                <w:color w:val="auto"/>
                <w:sz w:val="21"/>
                <w:szCs w:val="21"/>
                <w:highlight w:val="none"/>
                <w:lang w:eastAsia="zh-CN"/>
              </w:rPr>
              <w:t xml:space="preserve">-</w:t>
            </w:r>
            <w:r>
              <w:rPr>
                <w:rFonts w:ascii="仿宋" w:eastAsia="仿宋" w:hAnsi="仿宋" w:cs="仿宋" w:hint="eastAsia"/>
                <w:color w:val="auto"/>
                <w:sz w:val="21"/>
                <w:szCs w:val="21"/>
                <w:highlight w:val="none"/>
              </w:rPr>
              <w:t xml:space="preserve">2232372</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县供电公司</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w:t>
            </w:r>
            <w:r>
              <w:rPr>
                <w:rFonts w:ascii="仿宋" w:eastAsia="仿宋" w:hAnsi="仿宋" w:cs="仿宋" w:hint="eastAsia"/>
                <w:color w:val="auto"/>
                <w:sz w:val="21"/>
                <w:szCs w:val="21"/>
                <w:highlight w:val="none"/>
                <w:lang w:eastAsia="zh-CN"/>
              </w:rPr>
              <w:t xml:space="preserve">-</w:t>
            </w:r>
            <w:r>
              <w:rPr>
                <w:rFonts w:ascii="仿宋" w:eastAsia="仿宋" w:hAnsi="仿宋" w:cs="仿宋" w:hint="eastAsia"/>
                <w:color w:val="auto"/>
                <w:sz w:val="21"/>
                <w:szCs w:val="21"/>
                <w:highlight w:val="none"/>
              </w:rPr>
              <w:t xml:space="preserve">5195807</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县电信公司</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lang w:val="en-US" w:eastAsia="zh-CN"/>
              </w:rPr>
            </w:pPr>
            <w:r>
              <w:rPr>
                <w:rFonts w:ascii="仿宋" w:eastAsia="仿宋" w:hAnsi="仿宋" w:cs="仿宋" w:hint="eastAsia"/>
                <w:color w:val="auto"/>
                <w:sz w:val="21"/>
                <w:szCs w:val="21"/>
                <w:highlight w:val="none"/>
                <w:lang w:val="en-US" w:eastAsia="zh-CN"/>
              </w:rPr>
              <w:t xml:space="preserve">0971-2232114</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县移动公司</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lang w:val="en-US" w:eastAsia="zh-CN"/>
              </w:rPr>
            </w:pPr>
            <w:bookmarkStart w:id="214" w:name="_GoBack"/>
            <w:bookmarkEnd w:id="214"/>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lang w:val="en-US" w:eastAsia="zh-CN"/>
              </w:rPr>
            </w:pPr>
            <w:r>
              <w:rPr>
                <w:rFonts w:ascii="仿宋" w:eastAsia="仿宋" w:hAnsi="仿宋" w:cs="仿宋" w:hint="eastAsia"/>
                <w:color w:val="auto"/>
                <w:sz w:val="21"/>
                <w:szCs w:val="21"/>
                <w:highlight w:val="none"/>
                <w:lang w:val="en-US" w:eastAsia="zh-CN"/>
              </w:rPr>
              <w:t xml:space="preserve">县联通公司</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lang w:val="en-US" w:eastAsia="zh-CN"/>
              </w:rPr>
            </w:pP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土门关乡人民政府</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w:t>
            </w:r>
            <w:r>
              <w:rPr>
                <w:rFonts w:ascii="仿宋" w:eastAsia="仿宋" w:hAnsi="仿宋" w:cs="仿宋" w:hint="eastAsia"/>
                <w:color w:val="auto"/>
                <w:sz w:val="21"/>
                <w:szCs w:val="21"/>
                <w:highlight w:val="none"/>
                <w:lang w:eastAsia="zh-CN"/>
              </w:rPr>
              <w:t xml:space="preserve">-</w:t>
            </w:r>
            <w:r>
              <w:rPr>
                <w:rFonts w:ascii="仿宋" w:eastAsia="仿宋" w:hAnsi="仿宋" w:cs="仿宋" w:hint="eastAsia"/>
                <w:color w:val="auto"/>
                <w:sz w:val="21"/>
                <w:szCs w:val="21"/>
                <w:highlight w:val="none"/>
              </w:rPr>
              <w:t xml:space="preserve">2263012</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群加乡人民政府</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w:t>
            </w:r>
            <w:r>
              <w:rPr>
                <w:rFonts w:ascii="仿宋" w:eastAsia="仿宋" w:hAnsi="仿宋" w:cs="仿宋" w:hint="eastAsia"/>
                <w:color w:val="auto"/>
                <w:sz w:val="21"/>
                <w:szCs w:val="21"/>
                <w:highlight w:val="none"/>
                <w:lang w:eastAsia="zh-CN"/>
              </w:rPr>
              <w:t xml:space="preserve">-</w:t>
            </w:r>
            <w:r>
              <w:rPr>
                <w:rFonts w:ascii="仿宋" w:eastAsia="仿宋" w:hAnsi="仿宋" w:cs="仿宋" w:hint="eastAsia"/>
                <w:color w:val="auto"/>
                <w:sz w:val="21"/>
                <w:szCs w:val="21"/>
                <w:highlight w:val="none"/>
              </w:rPr>
              <w:t xml:space="preserve">2239952</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汉东乡人民政府</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w:t>
            </w:r>
            <w:r>
              <w:rPr>
                <w:rFonts w:ascii="仿宋" w:eastAsia="仿宋" w:hAnsi="仿宋" w:cs="仿宋" w:hint="eastAsia"/>
                <w:color w:val="auto"/>
                <w:sz w:val="21"/>
                <w:szCs w:val="21"/>
                <w:highlight w:val="none"/>
                <w:lang w:eastAsia="zh-CN"/>
              </w:rPr>
              <w:t xml:space="preserve">-</w:t>
            </w:r>
            <w:r>
              <w:rPr>
                <w:rFonts w:ascii="仿宋" w:eastAsia="仿宋" w:hAnsi="仿宋" w:cs="仿宋" w:hint="eastAsia"/>
                <w:color w:val="auto"/>
                <w:sz w:val="21"/>
                <w:szCs w:val="21"/>
                <w:highlight w:val="none"/>
              </w:rPr>
              <w:t xml:space="preserve">2268148</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大才乡人民政府</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w:t>
            </w:r>
            <w:r>
              <w:rPr>
                <w:rFonts w:ascii="仿宋" w:eastAsia="仿宋" w:hAnsi="仿宋" w:cs="仿宋" w:hint="eastAsia"/>
                <w:color w:val="auto"/>
                <w:sz w:val="21"/>
                <w:szCs w:val="21"/>
                <w:highlight w:val="none"/>
                <w:lang w:eastAsia="zh-CN"/>
              </w:rPr>
              <w:t xml:space="preserve">-</w:t>
            </w:r>
            <w:r>
              <w:rPr>
                <w:rFonts w:ascii="仿宋" w:eastAsia="仿宋" w:hAnsi="仿宋" w:cs="仿宋" w:hint="eastAsia"/>
                <w:color w:val="auto"/>
                <w:sz w:val="21"/>
                <w:szCs w:val="21"/>
                <w:highlight w:val="none"/>
              </w:rPr>
              <w:t xml:space="preserve">2219277</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海子沟乡人民政府</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w:t>
            </w:r>
            <w:r>
              <w:rPr>
                <w:rFonts w:ascii="仿宋" w:eastAsia="仿宋" w:hAnsi="仿宋" w:cs="仿宋" w:hint="eastAsia"/>
                <w:color w:val="auto"/>
                <w:sz w:val="21"/>
                <w:szCs w:val="21"/>
                <w:highlight w:val="none"/>
                <w:lang w:eastAsia="zh-CN"/>
              </w:rPr>
              <w:t xml:space="preserve">-</w:t>
            </w:r>
            <w:r>
              <w:rPr>
                <w:rFonts w:ascii="仿宋" w:eastAsia="仿宋" w:hAnsi="仿宋" w:cs="仿宋" w:hint="eastAsia"/>
                <w:color w:val="auto"/>
                <w:sz w:val="21"/>
                <w:szCs w:val="21"/>
                <w:highlight w:val="none"/>
              </w:rPr>
              <w:t xml:space="preserve">2270200</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田家寨镇人民政府</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w:t>
            </w:r>
            <w:r>
              <w:rPr>
                <w:rFonts w:ascii="仿宋" w:eastAsia="仿宋" w:hAnsi="仿宋" w:cs="仿宋" w:hint="eastAsia"/>
                <w:color w:val="auto"/>
                <w:sz w:val="21"/>
                <w:szCs w:val="21"/>
                <w:highlight w:val="none"/>
                <w:lang w:eastAsia="zh-CN"/>
              </w:rPr>
              <w:t xml:space="preserve">-</w:t>
            </w:r>
            <w:r>
              <w:rPr>
                <w:rFonts w:ascii="仿宋" w:eastAsia="仿宋" w:hAnsi="仿宋" w:cs="仿宋" w:hint="eastAsia"/>
                <w:color w:val="auto"/>
                <w:sz w:val="21"/>
                <w:szCs w:val="21"/>
                <w:highlight w:val="none"/>
              </w:rPr>
              <w:t xml:space="preserve">2294067</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鲁沙尔镇人民政府</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w:t>
            </w:r>
            <w:r>
              <w:rPr>
                <w:rFonts w:ascii="仿宋" w:eastAsia="仿宋" w:hAnsi="仿宋" w:cs="仿宋" w:hint="eastAsia"/>
                <w:color w:val="auto"/>
                <w:sz w:val="21"/>
                <w:szCs w:val="21"/>
                <w:highlight w:val="none"/>
                <w:lang w:eastAsia="zh-CN"/>
              </w:rPr>
              <w:t xml:space="preserve">-</w:t>
            </w:r>
            <w:r>
              <w:rPr>
                <w:rFonts w:ascii="仿宋" w:eastAsia="仿宋" w:hAnsi="仿宋" w:cs="仿宋" w:hint="eastAsia"/>
                <w:color w:val="auto"/>
                <w:sz w:val="21"/>
                <w:szCs w:val="21"/>
                <w:highlight w:val="none"/>
              </w:rPr>
              <w:t xml:space="preserve">2232234</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上新庄镇人民政府</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w:t>
            </w:r>
            <w:r>
              <w:rPr>
                <w:rFonts w:ascii="仿宋" w:eastAsia="仿宋" w:hAnsi="仿宋" w:cs="仿宋" w:hint="eastAsia"/>
                <w:color w:val="auto"/>
                <w:sz w:val="21"/>
                <w:szCs w:val="21"/>
                <w:highlight w:val="none"/>
                <w:lang w:eastAsia="zh-CN"/>
              </w:rPr>
              <w:t xml:space="preserve">-</w:t>
            </w:r>
            <w:r>
              <w:rPr>
                <w:rFonts w:ascii="仿宋" w:eastAsia="仿宋" w:hAnsi="仿宋" w:cs="仿宋" w:hint="eastAsia"/>
                <w:color w:val="auto"/>
                <w:sz w:val="21"/>
                <w:szCs w:val="21"/>
                <w:highlight w:val="none"/>
              </w:rPr>
              <w:t xml:space="preserve">2292072</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西堡镇人民政府</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w:t>
            </w:r>
            <w:r>
              <w:rPr>
                <w:rFonts w:ascii="仿宋" w:eastAsia="仿宋" w:hAnsi="仿宋" w:cs="仿宋" w:hint="eastAsia"/>
                <w:color w:val="auto"/>
                <w:sz w:val="21"/>
                <w:szCs w:val="21"/>
                <w:highlight w:val="none"/>
                <w:lang w:eastAsia="zh-CN"/>
              </w:rPr>
              <w:t xml:space="preserve">-</w:t>
            </w:r>
            <w:r>
              <w:rPr>
                <w:rFonts w:ascii="仿宋" w:eastAsia="仿宋" w:hAnsi="仿宋" w:cs="仿宋" w:hint="eastAsia"/>
                <w:color w:val="auto"/>
                <w:sz w:val="21"/>
                <w:szCs w:val="21"/>
                <w:highlight w:val="none"/>
              </w:rPr>
              <w:t xml:space="preserve">2293001</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甘河滩镇人民政府</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w:t>
            </w:r>
            <w:r>
              <w:rPr>
                <w:rFonts w:ascii="仿宋" w:eastAsia="仿宋" w:hAnsi="仿宋" w:cs="仿宋" w:hint="eastAsia"/>
                <w:color w:val="auto"/>
                <w:sz w:val="21"/>
                <w:szCs w:val="21"/>
                <w:highlight w:val="none"/>
                <w:lang w:eastAsia="zh-CN"/>
              </w:rPr>
              <w:t xml:space="preserve">-</w:t>
            </w:r>
            <w:r>
              <w:rPr>
                <w:rFonts w:ascii="仿宋" w:eastAsia="仿宋" w:hAnsi="仿宋" w:cs="仿宋" w:hint="eastAsia"/>
                <w:color w:val="auto"/>
                <w:sz w:val="21"/>
                <w:szCs w:val="21"/>
                <w:highlight w:val="none"/>
              </w:rPr>
              <w:t xml:space="preserve">2291254</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共和镇人民政府</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w:t>
            </w:r>
            <w:r>
              <w:rPr>
                <w:rFonts w:ascii="仿宋" w:eastAsia="仿宋" w:hAnsi="仿宋" w:cs="仿宋" w:hint="eastAsia"/>
                <w:color w:val="auto"/>
                <w:sz w:val="21"/>
                <w:szCs w:val="21"/>
                <w:highlight w:val="none"/>
                <w:lang w:eastAsia="zh-CN"/>
              </w:rPr>
              <w:t xml:space="preserve">-</w:t>
            </w:r>
            <w:r>
              <w:rPr>
                <w:rFonts w:ascii="仿宋" w:eastAsia="仿宋" w:hAnsi="仿宋" w:cs="仿宋" w:hint="eastAsia"/>
                <w:color w:val="auto"/>
                <w:sz w:val="21"/>
                <w:szCs w:val="21"/>
                <w:highlight w:val="none"/>
              </w:rPr>
              <w:t xml:space="preserve">2295633</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多巴镇人民政府</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w:t>
            </w:r>
            <w:r>
              <w:rPr>
                <w:rFonts w:ascii="仿宋" w:eastAsia="仿宋" w:hAnsi="仿宋" w:cs="仿宋" w:hint="eastAsia"/>
                <w:color w:val="auto"/>
                <w:sz w:val="21"/>
                <w:szCs w:val="21"/>
                <w:highlight w:val="none"/>
                <w:lang w:eastAsia="zh-CN"/>
              </w:rPr>
              <w:t xml:space="preserve">-</w:t>
            </w:r>
            <w:r>
              <w:rPr>
                <w:rFonts w:ascii="仿宋" w:eastAsia="仿宋" w:hAnsi="仿宋" w:cs="仿宋" w:hint="eastAsia"/>
                <w:color w:val="auto"/>
                <w:sz w:val="21"/>
                <w:szCs w:val="21"/>
                <w:highlight w:val="none"/>
              </w:rPr>
              <w:t xml:space="preserve">2297337</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拦隆口镇人民政府</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w:t>
            </w:r>
            <w:r>
              <w:rPr>
                <w:rFonts w:ascii="仿宋" w:eastAsia="仿宋" w:hAnsi="仿宋" w:cs="仿宋" w:hint="eastAsia"/>
                <w:color w:val="auto"/>
                <w:sz w:val="21"/>
                <w:szCs w:val="21"/>
                <w:highlight w:val="none"/>
                <w:lang w:eastAsia="zh-CN"/>
              </w:rPr>
              <w:t xml:space="preserve">-</w:t>
            </w:r>
            <w:r>
              <w:rPr>
                <w:rFonts w:ascii="仿宋" w:eastAsia="仿宋" w:hAnsi="仿宋" w:cs="仿宋" w:hint="eastAsia"/>
                <w:color w:val="auto"/>
                <w:sz w:val="21"/>
                <w:szCs w:val="21"/>
                <w:highlight w:val="none"/>
              </w:rPr>
              <w:t xml:space="preserve">2265012</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李家山镇人民政府</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w:t>
            </w:r>
            <w:r>
              <w:rPr>
                <w:rFonts w:ascii="仿宋" w:eastAsia="仿宋" w:hAnsi="仿宋" w:cs="仿宋" w:hint="eastAsia"/>
                <w:color w:val="auto"/>
                <w:sz w:val="21"/>
                <w:szCs w:val="21"/>
                <w:highlight w:val="none"/>
                <w:lang w:eastAsia="zh-CN"/>
              </w:rPr>
              <w:t xml:space="preserve">-</w:t>
            </w:r>
            <w:r>
              <w:rPr>
                <w:rFonts w:ascii="仿宋" w:eastAsia="仿宋" w:hAnsi="仿宋" w:cs="仿宋" w:hint="eastAsia"/>
                <w:color w:val="auto"/>
                <w:sz w:val="21"/>
                <w:szCs w:val="21"/>
                <w:highlight w:val="none"/>
              </w:rPr>
              <w:t xml:space="preserve">2270007</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上五庄镇人民政府</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w:t>
            </w:r>
            <w:r>
              <w:rPr>
                <w:rFonts w:ascii="仿宋" w:eastAsia="仿宋" w:hAnsi="仿宋" w:cs="仿宋" w:hint="eastAsia"/>
                <w:color w:val="auto"/>
                <w:sz w:val="21"/>
                <w:szCs w:val="21"/>
                <w:highlight w:val="none"/>
                <w:lang w:eastAsia="zh-CN"/>
              </w:rPr>
              <w:t xml:space="preserve">-</w:t>
            </w:r>
            <w:r>
              <w:rPr>
                <w:rFonts w:ascii="仿宋" w:eastAsia="仿宋" w:hAnsi="仿宋" w:cs="仿宋" w:hint="eastAsia"/>
                <w:color w:val="auto"/>
                <w:sz w:val="21"/>
                <w:szCs w:val="21"/>
                <w:highlight w:val="none"/>
              </w:rPr>
              <w:t xml:space="preserve">2260155</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康川街道办事处</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w:t>
            </w:r>
            <w:r>
              <w:rPr>
                <w:rFonts w:ascii="仿宋" w:eastAsia="仿宋" w:hAnsi="仿宋" w:cs="仿宋" w:hint="eastAsia"/>
                <w:color w:val="auto"/>
                <w:sz w:val="21"/>
                <w:szCs w:val="21"/>
                <w:highlight w:val="none"/>
                <w:lang w:eastAsia="zh-CN"/>
              </w:rPr>
              <w:t xml:space="preserve">-</w:t>
            </w:r>
            <w:r>
              <w:rPr>
                <w:rFonts w:ascii="仿宋" w:eastAsia="仿宋" w:hAnsi="仿宋" w:cs="仿宋" w:hint="eastAsia"/>
                <w:color w:val="auto"/>
                <w:sz w:val="21"/>
                <w:szCs w:val="21"/>
                <w:highlight w:val="none"/>
              </w:rPr>
              <w:t xml:space="preserve">2297997</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pacing w:val="-20"/>
                <w:kern w:val="0"/>
                <w:sz w:val="21"/>
                <w:szCs w:val="21"/>
                <w:highlight w:val="none"/>
              </w:rPr>
              <w:t xml:space="preserve">甘河滩卫生院</w:t>
            </w:r>
          </w:p>
        </w:tc>
        <w:tc>
          <w:tcPr>
            <w:tcW w:w="2331" w:type="dxa"/>
            <w:tcBorders>
              <w:right w:val="single" w:sz="8" w:space="0" w:color="auto"/>
            </w:tcBorders>
            <w:vAlign w:val="center"/>
          </w:tcPr>
          <w:p>
            <w:pPr>
              <w:widowControl/>
              <w:spacing w:line="320" w:lineRule="exact"/>
              <w:jc w:val="center"/>
              <w:rPr>
                <w:rFonts w:ascii="仿宋" w:eastAsia="仿宋" w:hAnsi="仿宋" w:cs="仿宋" w:hint="eastAsia"/>
                <w:color w:val="auto"/>
                <w:sz w:val="21"/>
                <w:szCs w:val="21"/>
                <w:highlight w:val="none"/>
                <w:lang w:eastAsia="zh-CN"/>
              </w:rPr>
            </w:pP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pacing w:val="-20"/>
                <w:kern w:val="0"/>
                <w:sz w:val="21"/>
                <w:szCs w:val="21"/>
                <w:highlight w:val="none"/>
              </w:rPr>
              <w:t xml:space="preserve">湟中县中医院</w:t>
            </w:r>
          </w:p>
        </w:tc>
        <w:tc>
          <w:tcPr>
            <w:tcW w:w="2331" w:type="dxa"/>
            <w:tcBorders>
              <w:right w:val="single" w:sz="8" w:space="0" w:color="auto"/>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eastAsia="仿宋" w:hAnsi="仿宋" w:cs="仿宋" w:hint="eastAsia"/>
                <w:color w:val="auto"/>
                <w:kern w:val="0"/>
                <w:sz w:val="21"/>
                <w:szCs w:val="21"/>
                <w:highlight w:val="none"/>
                <w:lang w:val="en-US" w:eastAsia="zh-CN" w:bidi="ar-SA"/>
              </w:rPr>
            </w:pPr>
            <w:r>
              <w:rPr>
                <w:rFonts w:ascii="仿宋" w:eastAsia="仿宋" w:hAnsi="仿宋" w:cs="仿宋" w:hint="eastAsia"/>
                <w:color w:val="auto"/>
                <w:spacing w:val="-20"/>
                <w:kern w:val="0"/>
                <w:sz w:val="21"/>
                <w:szCs w:val="21"/>
                <w:highlight w:val="none"/>
                <w:lang w:val="en-US" w:eastAsia="zh-CN"/>
              </w:rPr>
              <w:t xml:space="preserve">0971-2231275</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pacing w:val="-20"/>
                <w:kern w:val="0"/>
                <w:sz w:val="21"/>
                <w:szCs w:val="21"/>
                <w:highlight w:val="none"/>
              </w:rPr>
              <w:t xml:space="preserve">湟中县第二人民医院</w:t>
            </w:r>
          </w:p>
        </w:tc>
        <w:tc>
          <w:tcPr>
            <w:tcW w:w="2331" w:type="dxa"/>
            <w:tcBorders>
              <w:right w:val="single" w:sz="8" w:space="0" w:color="auto"/>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eastAsia="仿宋" w:hAnsi="仿宋" w:cs="仿宋" w:hint="eastAsia"/>
                <w:color w:val="auto"/>
                <w:kern w:val="0"/>
                <w:sz w:val="21"/>
                <w:szCs w:val="21"/>
                <w:highlight w:val="none"/>
                <w:lang w:val="en-US" w:eastAsia="zh-CN" w:bidi="ar-SA"/>
              </w:rPr>
            </w:pPr>
            <w:r>
              <w:rPr>
                <w:rFonts w:ascii="仿宋" w:eastAsia="仿宋" w:hAnsi="仿宋" w:cs="仿宋" w:hint="eastAsia"/>
                <w:color w:val="auto"/>
                <w:spacing w:val="-20"/>
                <w:kern w:val="0"/>
                <w:sz w:val="21"/>
                <w:szCs w:val="21"/>
                <w:highlight w:val="none"/>
                <w:lang w:val="en-US" w:eastAsia="zh-CN"/>
              </w:rPr>
              <w:t xml:space="preserve">0971-2297370</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numPr>
                <w:ilvl w:val="0"/>
                <w:numId w:val="61"/>
              </w:numPr>
              <w:ind w:left="0" w:firstLine="0"/>
              <w:jc w:val="center"/>
              <w:rPr>
                <w:rFonts w:ascii="仿宋" w:eastAsia="仿宋" w:hAnsi="仿宋" w:cs="仿宋" w:hint="eastAsia"/>
                <w:color w:val="auto"/>
                <w:sz w:val="21"/>
                <w:szCs w:val="21"/>
                <w:highlight w:val="none"/>
              </w:rPr>
            </w:pP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pacing w:val="-20"/>
                <w:kern w:val="0"/>
                <w:sz w:val="21"/>
                <w:szCs w:val="21"/>
                <w:highlight w:val="none"/>
              </w:rPr>
              <w:t xml:space="preserve">湟中县人民医院</w:t>
            </w:r>
          </w:p>
        </w:tc>
        <w:tc>
          <w:tcPr>
            <w:tcW w:w="2331" w:type="dxa"/>
            <w:tcBorders>
              <w:right w:val="single" w:sz="8" w:space="0" w:color="auto"/>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eastAsia="仿宋" w:hAnsi="仿宋" w:cs="仿宋" w:hint="eastAsia"/>
                <w:color w:val="auto"/>
                <w:kern w:val="0"/>
                <w:sz w:val="21"/>
                <w:szCs w:val="21"/>
                <w:highlight w:val="none"/>
                <w:lang w:val="en-US" w:eastAsia="zh-CN" w:bidi="ar-SA"/>
              </w:rPr>
            </w:pPr>
            <w:r>
              <w:rPr>
                <w:rFonts w:ascii="仿宋" w:eastAsia="仿宋" w:hAnsi="仿宋" w:cs="仿宋" w:hint="eastAsia"/>
                <w:color w:val="auto"/>
                <w:spacing w:val="-20"/>
                <w:kern w:val="0"/>
                <w:sz w:val="21"/>
                <w:szCs w:val="21"/>
                <w:highlight w:val="none"/>
                <w:lang w:val="en-US" w:eastAsia="zh-CN"/>
              </w:rPr>
              <w:t xml:space="preserve">0971-2232350</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9354" w:type="dxa"/>
            <w:gridSpan w:val="4"/>
            <w:tcBorders>
              <w:left w:val="single" w:sz="8" w:space="0" w:color="auto"/>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b/>
                <w:bCs/>
                <w:color w:val="auto"/>
                <w:sz w:val="21"/>
                <w:szCs w:val="21"/>
                <w:highlight w:val="none"/>
              </w:rPr>
              <w:t xml:space="preserve">应急救援外部电话</w:t>
            </w: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1</w:t>
            </w: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公 安</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110</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2</w:t>
            </w: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消 防</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119</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3</w:t>
            </w: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急救中心</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120</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4</w:t>
            </w: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西宁市应急局电话</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0971</w:t>
            </w:r>
            <w:r>
              <w:rPr>
                <w:rFonts w:ascii="仿宋" w:eastAsia="仿宋" w:hAnsi="仿宋" w:cs="仿宋" w:hint="eastAsia"/>
                <w:color w:val="auto"/>
                <w:sz w:val="21"/>
                <w:szCs w:val="21"/>
                <w:highlight w:val="none"/>
                <w:lang w:eastAsia="zh-CN"/>
              </w:rPr>
              <w:t xml:space="preserve">-</w:t>
            </w:r>
            <w:r>
              <w:rPr>
                <w:rFonts w:ascii="仿宋" w:eastAsia="仿宋" w:hAnsi="仿宋" w:cs="仿宋" w:hint="eastAsia"/>
                <w:color w:val="auto"/>
                <w:sz w:val="21"/>
                <w:szCs w:val="21"/>
                <w:highlight w:val="none"/>
              </w:rPr>
              <w:t xml:space="preserve">8230155</w:t>
            </w:r>
          </w:p>
        </w:tc>
        <w:tc>
          <w:tcPr>
            <w:tcW w:w="1728" w:type="dxa"/>
            <w:tcBorders>
              <w:right w:val="single" w:sz="8" w:space="0" w:color="auto"/>
            </w:tcBorders>
            <w:vAlign w:val="center"/>
          </w:tcPr>
          <w:p>
            <w:pPr>
              <w:jc w:val="center"/>
              <w:rPr>
                <w:rFonts w:ascii="仿宋" w:eastAsia="仿宋" w:hAnsi="仿宋" w:cs="仿宋" w:hint="eastAsia"/>
                <w:color w:val="auto"/>
                <w:sz w:val="21"/>
                <w:szCs w:val="21"/>
                <w:highlight w:val="none"/>
              </w:rPr>
            </w:pPr>
          </w:p>
        </w:tc>
      </w:tr>
      <w:tr>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jc w:val="center"/>
        </w:trPr>
        <w:tc>
          <w:tcPr>
            <w:tcW w:w="1343"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5</w:t>
            </w:r>
          </w:p>
        </w:tc>
        <w:tc>
          <w:tcPr>
            <w:tcW w:w="3952" w:type="dxa"/>
            <w:tcBorders>
              <w:lef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市政府值班室电话</w:t>
            </w:r>
          </w:p>
        </w:tc>
        <w:tc>
          <w:tcPr>
            <w:tcW w:w="2331" w:type="dxa"/>
            <w:tcBorders>
              <w:right w:val="single" w:sz="8" w:space="0" w:color="auto"/>
            </w:tcBorders>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lang w:val="en-US" w:eastAsia="zh-CN"/>
              </w:rPr>
              <w:t xml:space="preserve">0971-8247165</w:t>
            </w:r>
          </w:p>
        </w:tc>
        <w:tc>
          <w:tcPr>
            <w:tcW w:w="1728" w:type="dxa"/>
            <w:tcBorders>
              <w:right w:val="single" w:sz="8" w:space="0" w:color="auto"/>
            </w:tcBorders>
            <w:vAlign w:val="center"/>
          </w:tcPr>
          <w:p>
            <w:pPr>
              <w:widowControl/>
              <w:jc w:val="center"/>
              <w:rPr>
                <w:rFonts w:ascii="仿宋" w:eastAsia="仿宋" w:hAnsi="仿宋" w:cs="仿宋" w:hint="eastAsia"/>
                <w:color w:val="auto"/>
                <w:sz w:val="21"/>
                <w:szCs w:val="21"/>
                <w:highlight w:val="none"/>
              </w:rPr>
            </w:pPr>
          </w:p>
        </w:tc>
      </w:tr>
    </w:tbl>
    <w:p>
      <w:pPr>
        <w:pStyle w:val="BodyTextFirstIndent"/>
        <w:ind w:firstLine="280"/>
        <w:rPr>
          <w:color w:val="auto"/>
          <w:highlight w:val="none"/>
          <w:lang w:val="en-US"/>
        </w:rPr>
      </w:pPr>
    </w:p>
    <w:p>
      <w:pPr>
        <w:pStyle w:val="Normal(Web)"/>
        <w:widowControl/>
        <w:shd w:val="clear" w:color="auto" w:fill="FFFFFF"/>
        <w:spacing w:before="0" w:beforeAutospacing="0" w:after="0" w:afterAutospacing="0"/>
        <w:rPr>
          <w:color w:val="auto"/>
          <w:sz w:val="28"/>
          <w:highlight w:val="none"/>
        </w:rPr>
      </w:pPr>
      <w:r>
        <w:br w:type="page"/>
      </w:r>
    </w:p>
    <w:p>
      <w:pPr>
        <w:pStyle w:val="Normal(Web)"/>
        <w:widowControl/>
        <w:shd w:val="clear" w:color="auto" w:fill="FFFFFF"/>
        <w:spacing w:before="0" w:beforeAutospacing="0" w:after="0" w:afterAutospacing="0"/>
        <w:jc w:val="left"/>
        <w:rPr>
          <w:rFonts w:ascii="黑体" w:eastAsia="黑体" w:hAnsi="黑体" w:cs="黑体" w:hint="eastAsia"/>
          <w:b/>
          <w:bCs/>
          <w:color w:val="auto"/>
          <w:sz w:val="28"/>
          <w:szCs w:val="28"/>
          <w:highlight w:val="none"/>
        </w:rPr>
      </w:pPr>
      <w:bookmarkStart w:id="215" w:name="_Toc30422"/>
      <w:r>
        <w:rPr>
          <w:rFonts w:ascii="黑体" w:eastAsia="黑体" w:hAnsi="黑体" w:cs="黑体" w:hint="eastAsia"/>
          <w:b/>
          <w:bCs/>
          <w:color w:val="auto"/>
          <w:sz w:val="28"/>
          <w:szCs w:val="28"/>
          <w:highlight w:val="none"/>
        </w:rPr>
        <w:t xml:space="preserve">附件</w:t>
      </w:r>
      <w:bookmarkEnd w:id="215"/>
      <w:r>
        <w:rPr>
          <w:rFonts w:ascii="黑体" w:eastAsia="黑体" w:hAnsi="黑体" w:cs="黑体" w:hint="eastAsia"/>
          <w:b/>
          <w:bCs/>
          <w:color w:val="auto"/>
          <w:sz w:val="28"/>
          <w:szCs w:val="28"/>
          <w:highlight w:val="none"/>
        </w:rPr>
        <w:t xml:space="preserve">3  </w:t>
      </w:r>
      <w:bookmarkStart w:id="216" w:name="_Toc7586"/>
      <w:bookmarkStart w:id="217" w:name="_Toc21510"/>
      <w:r>
        <w:rPr>
          <w:rFonts w:ascii="黑体" w:eastAsia="黑体" w:hAnsi="黑体" w:cs="黑体" w:hint="eastAsia"/>
          <w:b/>
          <w:bCs/>
          <w:color w:val="auto"/>
          <w:sz w:val="28"/>
          <w:szCs w:val="28"/>
          <w:highlight w:val="none"/>
        </w:rPr>
        <w:t xml:space="preserve">几种火灾类型的基本扑救对策</w:t>
      </w:r>
      <w:bookmarkEnd w:id="216"/>
      <w:bookmarkEnd w:id="217"/>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3" w:firstLineChars="200"/>
        <w:textAlignment w:val="auto"/>
        <w:rPr>
          <w:rFonts w:ascii="仿宋" w:eastAsia="仿宋" w:hAnsi="仿宋" w:cs="仿宋" w:hint="eastAsia"/>
          <w:b/>
          <w:color w:val="auto"/>
          <w:kern w:val="0"/>
          <w:sz w:val="32"/>
          <w:szCs w:val="32"/>
          <w:highlight w:val="none"/>
        </w:rPr>
      </w:pPr>
      <w:bookmarkStart w:id="218" w:name="_Toc17636"/>
      <w:bookmarkStart w:id="219" w:name="_Toc9011"/>
      <w:r>
        <w:rPr>
          <w:rFonts w:ascii="仿宋" w:eastAsia="仿宋" w:hAnsi="仿宋" w:cs="仿宋" w:hint="eastAsia"/>
          <w:b/>
          <w:color w:val="auto"/>
          <w:kern w:val="0"/>
          <w:sz w:val="32"/>
          <w:szCs w:val="32"/>
          <w:highlight w:val="none"/>
        </w:rPr>
        <w:t xml:space="preserve">1 扑救压缩或液化气体火灾的基本对策</w:t>
      </w:r>
      <w:bookmarkEnd w:id="218"/>
      <w:bookmarkEnd w:id="219"/>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①扑救气体火灾切忌盲目扑灭火势，在没有采取堵漏措施的情况下，必须保持稳定燃烧。否则，大量可燃气体泄漏出来与空气混合，遇着火源就会发生爆炸。</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②首先应扑灭外围被火源引燃的可燃物火势，切断火势蔓延途径，控制燃烧范围，并积极抢救受伤和被困人员。</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③如果火势中有压力容器或有受到火焰辐射热威胁的压力容器，能疏散的应尽量在水枪的掩护下疏散到安全地带，不能疏散的应部署足够的水枪进行冷却保护。为防止容器爆裂伤人，进行冷却的人员应尽量采用低姿射水或利用现场坚实的掩蔽体防护。</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④如果是输气管道泄漏着火，应迅速切断离着火点最近的管道阀门。</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⑤贮罐或管道泄漏关阀无效时，应根据火势判断气体压力和泄漏口的大小及其形状，准备好相应的堵漏材料 (如：软木塞、橡皮塞、气囊塞、黏合剂、弯管工具等 )。</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textAlignment w:val="auto"/>
        <w:rPr>
          <w:rFonts w:ascii="仿宋" w:eastAsia="仿宋" w:hAnsi="仿宋" w:cs="仿宋" w:hint="eastAsia"/>
          <w:color w:val="auto"/>
          <w:sz w:val="32"/>
          <w:szCs w:val="32"/>
          <w:highlight w:val="none"/>
        </w:rPr>
      </w:pPr>
      <w:r>
        <w:rPr>
          <w:rFonts w:ascii="仿宋" w:eastAsia="仿宋" w:hAnsi="仿宋" w:cs="仿宋" w:hint="eastAsia"/>
          <w:color w:val="auto"/>
          <w:kern w:val="0"/>
          <w:sz w:val="32"/>
          <w:szCs w:val="32"/>
          <w:highlight w:val="none"/>
        </w:rPr>
        <w:t xml:space="preserve">⑥堵漏工作准备就绪后，即可用水扑救火势，也用干粉、二氧化碳、灭火，但仍需用水冷却烧烫的罐或管壁。火扑灭后，应立即用堵漏材料堵漏，同时用雾状水稀释和驱散泄漏出来的气体。如果确认泄漏口非常大， 根本无法堵漏，只需冷却着火容器及其周围容器和可燃物品，控制着火范围，直到燃气燃尽，火势自动熄灭。</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3" w:firstLineChars="200"/>
        <w:textAlignment w:val="auto"/>
        <w:rPr>
          <w:rFonts w:ascii="仿宋" w:eastAsia="仿宋" w:hAnsi="仿宋" w:cs="仿宋" w:hint="eastAsia"/>
          <w:b/>
          <w:color w:val="auto"/>
          <w:kern w:val="0"/>
          <w:sz w:val="32"/>
          <w:szCs w:val="32"/>
          <w:highlight w:val="none"/>
        </w:rPr>
      </w:pPr>
      <w:bookmarkStart w:id="220" w:name="_Toc32464"/>
      <w:bookmarkStart w:id="221" w:name="_Toc4506"/>
      <w:r>
        <w:rPr>
          <w:rFonts w:ascii="仿宋" w:eastAsia="仿宋" w:hAnsi="仿宋" w:cs="仿宋" w:hint="eastAsia"/>
          <w:b/>
          <w:color w:val="auto"/>
          <w:kern w:val="0"/>
          <w:sz w:val="32"/>
          <w:szCs w:val="32"/>
          <w:highlight w:val="none"/>
        </w:rPr>
        <w:t xml:space="preserve">2扑救易燃液体火灾的基本对策</w:t>
      </w:r>
      <w:bookmarkEnd w:id="220"/>
      <w:bookmarkEnd w:id="221"/>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①首先应切断火势蔓延的途径，冷却和疏散受火势威胁的压力及密闭容器和可燃物，控制燃烧范围，并积极抢救受伤和被困人员。如有液体流淌时，应筑堤（或用围油栏）拦截漂散流淌的易燃液体或挖沟导流。</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②及时了解和掌握着火液体的品名、密度、水溶性，以及有无毒害、腐蚀、沸溢、喷溅等危险性，以便采取相应的灭火和防护措施。</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③对较大的贮罐或流淌火灾，应准确判断着火面积。</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④小面积(一般 50㎡ 以内)液体火灾，一般可用雾状水扑灭。用泡沫、干粉、二氧化碳灭火一般更有效。</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⑤大面积液体火灾则必须根据其相对密度、水溶性和燃烧面积大小，选择正确的灭火剂扑救。</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⑥比水轻又不溶于水的液体 (如汽油、苯等)，用直流水、雾状水灭火往往无效。可用普通蛋白泡沫或轻水泡沫灭火。用干粉、卤代烷扑救时，灭火效果要视燃烧面积大小和燃烧条件而定，最好用水冷却罐壁。</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⑦比水重又不溶于水的液体起火时可用水扑救，水能覆盖在液面上灭火，用泡沫也有效。干粉扑救，灭火效果要视燃烧面积大小和燃烧条件而定，最好用水冷却罐壁。</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⑧具有水溶性的液体 (如醇类、酮类等)，最好用抗溶性泡沫扑救。用干粉扑救时，灭火效果要视燃烧面积大小和燃烧条件而定，也需用水冷却罐壁。</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⑨扑救毒害性、腐蚀性或燃烧产物毒害性较强的易燃液体火灾，扑救人员必须佩戴防护面具，采取防护措施。</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textAlignment w:val="auto"/>
        <w:rPr>
          <w:rFonts w:ascii="仿宋" w:eastAsia="仿宋" w:hAnsi="仿宋" w:cs="仿宋" w:hint="eastAsia"/>
          <w:color w:val="auto"/>
          <w:kern w:val="0"/>
          <w:sz w:val="32"/>
          <w:szCs w:val="32"/>
          <w:highlight w:val="none"/>
        </w:rPr>
      </w:pPr>
      <w:r>
        <w:rPr>
          <w:rFonts w:ascii="仿宋" w:eastAsia="仿宋" w:hAnsi="仿宋" w:cs="仿宋" w:hint="eastAsia"/>
          <w:color w:val="auto"/>
          <w:kern w:val="0"/>
          <w:sz w:val="32"/>
          <w:szCs w:val="32"/>
          <w:highlight w:val="none"/>
        </w:rPr>
        <w:t xml:space="preserve">⑩遇易燃液体管道或贮罐泄漏着火，在切断蔓延把火势限制在一定范围内的同时，对输送管道应设法找到并关闭进、出阀门，如果管道阀门已损坏或是贮罐泄漏，应迅速准备好堵漏材料，然后先用泡沫、干粉、二氧化碳或雾状水等扑灭地上的流淌火焰，为堵漏扫清障碍，然后再扑灭泄漏口的火焰，并迅速采取堵漏措施。与气体堵漏不同的是，液体一次堵漏失败，可连续堵几次，只要用泡沫覆盖地面，并堵住液体流淌和控制好周围着火源，不必点燃泄漏口的液体。</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textAlignment w:val="auto"/>
        <w:rPr>
          <w:rFonts w:ascii="仿宋" w:eastAsia="仿宋" w:hAnsi="仿宋" w:cs="仿宋" w:hint="eastAsia"/>
          <w:color w:val="auto"/>
          <w:kern w:val="0"/>
          <w:sz w:val="32"/>
          <w:szCs w:val="32"/>
          <w:highlight w:val="none"/>
        </w:rPr>
      </w:pPr>
    </w:p>
    <w:p>
      <w:pPr>
        <w:widowControl/>
        <w:shd w:val="clear" w:color="auto" w:fill="FFFFFF"/>
        <w:ind w:firstLine="640"/>
        <w:rPr>
          <w:rFonts w:ascii="仿宋_GB2312" w:eastAsia="仿宋_GB2312"/>
          <w:color w:val="auto"/>
          <w:kern w:val="0"/>
          <w:sz w:val="32"/>
          <w:szCs w:val="32"/>
          <w:highlight w:val="none"/>
        </w:rPr>
      </w:pPr>
      <w:r>
        <w:br w:type="page"/>
      </w:r>
    </w:p>
    <w:p>
      <w:pPr>
        <w:widowControl/>
        <w:shd w:val="clear" w:color="auto" w:fill="FFFFFF"/>
        <w:jc w:val="left"/>
        <w:rPr>
          <w:rFonts w:ascii="黑体" w:eastAsia="黑体" w:hAnsi="黑体" w:cs="黑体" w:hint="eastAsia"/>
          <w:color w:val="auto"/>
          <w:kern w:val="0"/>
          <w:sz w:val="32"/>
          <w:szCs w:val="32"/>
          <w:highlight w:val="none"/>
        </w:rPr>
      </w:pPr>
      <w:bookmarkStart w:id="222" w:name="_Toc25525"/>
      <w:r>
        <w:rPr>
          <w:rFonts w:ascii="黑体" w:eastAsia="黑体" w:hAnsi="黑体" w:cs="黑体" w:hint="eastAsia"/>
          <w:b/>
          <w:bCs/>
          <w:color w:val="auto"/>
          <w:kern w:val="0"/>
          <w:sz w:val="32"/>
          <w:szCs w:val="32"/>
          <w:highlight w:val="none"/>
        </w:rPr>
        <w:t xml:space="preserve">附件4：</w:t>
      </w:r>
      <w:bookmarkEnd w:id="222"/>
      <w:r>
        <w:rPr>
          <w:rFonts w:ascii="黑体" w:eastAsia="黑体" w:hAnsi="黑体" w:cs="黑体" w:hint="eastAsia"/>
          <w:b/>
          <w:bCs/>
          <w:color w:val="auto"/>
          <w:kern w:val="0"/>
          <w:sz w:val="32"/>
          <w:szCs w:val="32"/>
          <w:highlight w:val="none"/>
        </w:rPr>
        <w:t xml:space="preserve">湟中县危险化学品生产安全事故应急救援队伍</w:t>
      </w:r>
    </w:p>
    <w:tbl>
      <w:tblPr>
        <w:tblStyle w:val="TableGrid"/>
        <w:tblW w:w="879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83"/>
        <w:gridCol w:w="4583"/>
        <w:gridCol w:w="1953"/>
        <w:gridCol w:w="1380"/>
      </w:tblGrid>
      <w:tr>
        <w:tblPrEx>
          <w:tblW w:w="879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883" w:type="dxa"/>
          </w:tcPr>
          <w:p>
            <w:pPr>
              <w:widowControl/>
              <w:jc w:val="center"/>
              <w:rPr>
                <w:rFonts w:ascii="仿宋" w:eastAsia="仿宋" w:hAnsi="仿宋" w:cs="仿宋" w:hint="eastAsia"/>
                <w:color w:val="auto"/>
                <w:kern w:val="0"/>
                <w:sz w:val="21"/>
                <w:szCs w:val="21"/>
                <w:highlight w:val="none"/>
              </w:rPr>
            </w:pPr>
            <w:r>
              <w:rPr>
                <w:rFonts w:ascii="仿宋" w:eastAsia="仿宋" w:hAnsi="仿宋" w:cs="仿宋" w:hint="eastAsia"/>
                <w:color w:val="auto"/>
                <w:kern w:val="0"/>
                <w:sz w:val="21"/>
                <w:szCs w:val="21"/>
                <w:highlight w:val="none"/>
              </w:rPr>
              <w:t xml:space="preserve">序号</w:t>
            </w:r>
          </w:p>
        </w:tc>
        <w:tc>
          <w:tcPr>
            <w:tcW w:w="4583" w:type="dxa"/>
          </w:tcPr>
          <w:p>
            <w:pPr>
              <w:widowControl/>
              <w:jc w:val="center"/>
              <w:rPr>
                <w:rFonts w:ascii="仿宋" w:eastAsia="仿宋" w:hAnsi="仿宋" w:cs="仿宋" w:hint="eastAsia"/>
                <w:color w:val="auto"/>
                <w:kern w:val="0"/>
                <w:sz w:val="21"/>
                <w:szCs w:val="21"/>
                <w:highlight w:val="none"/>
              </w:rPr>
            </w:pPr>
            <w:r>
              <w:rPr>
                <w:rFonts w:ascii="仿宋" w:eastAsia="仿宋" w:hAnsi="仿宋" w:cs="仿宋" w:hint="eastAsia"/>
                <w:color w:val="auto"/>
                <w:kern w:val="0"/>
                <w:sz w:val="21"/>
                <w:szCs w:val="21"/>
                <w:highlight w:val="none"/>
              </w:rPr>
              <w:t xml:space="preserve">应急救援队伍名称</w:t>
            </w:r>
          </w:p>
        </w:tc>
        <w:tc>
          <w:tcPr>
            <w:tcW w:w="1953" w:type="dxa"/>
          </w:tcPr>
          <w:p>
            <w:pPr>
              <w:widowControl/>
              <w:jc w:val="center"/>
              <w:rPr>
                <w:rFonts w:ascii="仿宋" w:eastAsia="仿宋" w:hAnsi="仿宋" w:cs="仿宋" w:hint="eastAsia"/>
                <w:color w:val="auto"/>
                <w:kern w:val="0"/>
                <w:sz w:val="21"/>
                <w:szCs w:val="21"/>
                <w:highlight w:val="none"/>
              </w:rPr>
            </w:pPr>
            <w:r>
              <w:rPr>
                <w:rFonts w:ascii="仿宋" w:eastAsia="仿宋" w:hAnsi="仿宋" w:cs="仿宋" w:hint="eastAsia"/>
                <w:color w:val="auto"/>
                <w:kern w:val="0"/>
                <w:sz w:val="21"/>
                <w:szCs w:val="21"/>
                <w:highlight w:val="none"/>
              </w:rPr>
              <w:t xml:space="preserve">联系电话</w:t>
            </w:r>
          </w:p>
        </w:tc>
        <w:tc>
          <w:tcPr>
            <w:tcW w:w="1380" w:type="dxa"/>
          </w:tcPr>
          <w:p>
            <w:pPr>
              <w:widowControl/>
              <w:jc w:val="center"/>
              <w:rPr>
                <w:rFonts w:ascii="仿宋" w:eastAsia="仿宋" w:hAnsi="仿宋" w:cs="仿宋" w:hint="eastAsia"/>
                <w:color w:val="auto"/>
                <w:kern w:val="0"/>
                <w:sz w:val="21"/>
                <w:szCs w:val="21"/>
                <w:highlight w:val="none"/>
              </w:rPr>
            </w:pPr>
            <w:r>
              <w:rPr>
                <w:rFonts w:ascii="仿宋" w:eastAsia="仿宋" w:hAnsi="仿宋" w:cs="仿宋" w:hint="eastAsia"/>
                <w:color w:val="auto"/>
                <w:kern w:val="0"/>
                <w:sz w:val="21"/>
                <w:szCs w:val="21"/>
                <w:highlight w:val="none"/>
              </w:rPr>
              <w:t xml:space="preserve">备注</w:t>
            </w:r>
          </w:p>
        </w:tc>
      </w:tr>
      <w:tr>
        <w:tblPrEx>
          <w:tblW w:w="879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883" w:type="dxa"/>
          </w:tcPr>
          <w:p>
            <w:pPr>
              <w:widowControl/>
              <w:numPr>
                <w:ilvl w:val="0"/>
                <w:numId w:val="55"/>
              </w:numPr>
              <w:jc w:val="center"/>
              <w:rPr>
                <w:rFonts w:ascii="仿宋" w:eastAsia="仿宋" w:hAnsi="仿宋" w:cs="仿宋" w:hint="eastAsia"/>
                <w:color w:val="auto"/>
                <w:kern w:val="0"/>
                <w:sz w:val="21"/>
                <w:szCs w:val="21"/>
                <w:highlight w:val="none"/>
              </w:rPr>
            </w:pPr>
          </w:p>
        </w:tc>
        <w:tc>
          <w:tcPr>
            <w:tcW w:w="4583" w:type="dxa"/>
          </w:tcPr>
          <w:p>
            <w:pPr>
              <w:widowControl/>
              <w:jc w:val="center"/>
              <w:rPr>
                <w:rFonts w:ascii="仿宋" w:eastAsia="仿宋" w:hAnsi="仿宋" w:cs="仿宋" w:hint="eastAsia"/>
                <w:color w:val="auto"/>
                <w:kern w:val="0"/>
                <w:sz w:val="21"/>
                <w:szCs w:val="21"/>
                <w:highlight w:val="none"/>
              </w:rPr>
            </w:pPr>
            <w:r>
              <w:rPr>
                <w:rFonts w:ascii="仿宋" w:eastAsia="仿宋" w:hAnsi="仿宋" w:cs="仿宋" w:hint="eastAsia"/>
                <w:color w:val="auto"/>
                <w:kern w:val="0"/>
                <w:sz w:val="21"/>
                <w:szCs w:val="21"/>
                <w:highlight w:val="none"/>
              </w:rPr>
              <w:t xml:space="preserve">湟中县消防救援大队</w:t>
            </w:r>
          </w:p>
        </w:tc>
        <w:tc>
          <w:tcPr>
            <w:tcW w:w="1953" w:type="dxa"/>
          </w:tcPr>
          <w:p>
            <w:pPr>
              <w:widowControl/>
              <w:jc w:val="center"/>
              <w:rPr>
                <w:rFonts w:ascii="仿宋" w:eastAsia="仿宋" w:hAnsi="仿宋" w:cs="仿宋" w:hint="eastAsia"/>
                <w:color w:val="auto"/>
                <w:kern w:val="0"/>
                <w:sz w:val="21"/>
                <w:szCs w:val="21"/>
                <w:highlight w:val="none"/>
              </w:rPr>
            </w:pPr>
            <w:r>
              <w:rPr>
                <w:rFonts w:ascii="仿宋" w:eastAsia="仿宋" w:hAnsi="仿宋" w:cs="仿宋" w:hint="eastAsia"/>
                <w:color w:val="auto"/>
                <w:kern w:val="0"/>
                <w:sz w:val="21"/>
                <w:szCs w:val="21"/>
                <w:highlight w:val="none"/>
              </w:rPr>
              <w:t xml:space="preserve">0971-2235119</w:t>
            </w:r>
          </w:p>
        </w:tc>
        <w:tc>
          <w:tcPr>
            <w:tcW w:w="1380" w:type="dxa"/>
          </w:tcPr>
          <w:p>
            <w:pPr>
              <w:widowControl/>
              <w:jc w:val="center"/>
              <w:rPr>
                <w:rFonts w:ascii="仿宋" w:eastAsia="仿宋" w:hAnsi="仿宋" w:cs="仿宋" w:hint="eastAsia"/>
                <w:color w:val="auto"/>
                <w:kern w:val="0"/>
                <w:sz w:val="21"/>
                <w:szCs w:val="21"/>
                <w:highlight w:val="none"/>
              </w:rPr>
            </w:pPr>
          </w:p>
        </w:tc>
      </w:tr>
      <w:tr>
        <w:tblPrEx>
          <w:tblW w:w="879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883" w:type="dxa"/>
          </w:tcPr>
          <w:p>
            <w:pPr>
              <w:widowControl/>
              <w:numPr>
                <w:ilvl w:val="0"/>
                <w:numId w:val="55"/>
              </w:numPr>
              <w:jc w:val="center"/>
              <w:rPr>
                <w:rFonts w:ascii="仿宋" w:eastAsia="仿宋" w:hAnsi="仿宋" w:cs="仿宋" w:hint="eastAsia"/>
                <w:color w:val="auto"/>
                <w:kern w:val="0"/>
                <w:sz w:val="21"/>
                <w:szCs w:val="21"/>
                <w:highlight w:val="none"/>
              </w:rPr>
            </w:pPr>
          </w:p>
        </w:tc>
        <w:tc>
          <w:tcPr>
            <w:tcW w:w="4583" w:type="dxa"/>
          </w:tcPr>
          <w:p>
            <w:pPr>
              <w:widowControl/>
              <w:jc w:val="center"/>
              <w:rPr>
                <w:rFonts w:ascii="仿宋" w:eastAsia="仿宋" w:hAnsi="仿宋" w:cs="仿宋" w:hint="eastAsia"/>
                <w:color w:val="auto"/>
                <w:kern w:val="0"/>
                <w:sz w:val="21"/>
                <w:szCs w:val="21"/>
                <w:highlight w:val="none"/>
              </w:rPr>
            </w:pPr>
            <w:r>
              <w:rPr>
                <w:rFonts w:ascii="仿宋" w:eastAsia="仿宋" w:hAnsi="仿宋" w:cs="仿宋" w:hint="eastAsia"/>
                <w:color w:val="auto"/>
                <w:kern w:val="0"/>
                <w:sz w:val="21"/>
                <w:szCs w:val="21"/>
                <w:highlight w:val="none"/>
              </w:rPr>
              <w:t xml:space="preserve">中国石油天然气西宁销售分公司应急救援队</w:t>
            </w:r>
          </w:p>
        </w:tc>
        <w:tc>
          <w:tcPr>
            <w:tcW w:w="1953" w:type="dxa"/>
          </w:tcPr>
          <w:p>
            <w:pPr>
              <w:widowControl/>
              <w:jc w:val="center"/>
              <w:rPr>
                <w:rFonts w:ascii="仿宋" w:eastAsia="仿宋" w:hAnsi="仿宋" w:cs="仿宋" w:hint="eastAsia"/>
                <w:color w:val="auto"/>
                <w:kern w:val="0"/>
                <w:sz w:val="21"/>
                <w:szCs w:val="21"/>
                <w:highlight w:val="none"/>
              </w:rPr>
            </w:pPr>
            <w:r>
              <w:rPr>
                <w:rFonts w:ascii="仿宋" w:eastAsia="仿宋" w:hAnsi="仿宋" w:cs="仿宋" w:hint="eastAsia"/>
                <w:color w:val="auto"/>
                <w:kern w:val="0"/>
                <w:sz w:val="21"/>
                <w:szCs w:val="21"/>
                <w:highlight w:val="none"/>
              </w:rPr>
              <w:t xml:space="preserve">0971-6264985</w:t>
            </w:r>
          </w:p>
        </w:tc>
        <w:tc>
          <w:tcPr>
            <w:tcW w:w="1380" w:type="dxa"/>
          </w:tcPr>
          <w:p>
            <w:pPr>
              <w:widowControl/>
              <w:jc w:val="center"/>
              <w:rPr>
                <w:rFonts w:ascii="仿宋" w:eastAsia="仿宋" w:hAnsi="仿宋" w:cs="仿宋" w:hint="eastAsia"/>
                <w:color w:val="auto"/>
                <w:kern w:val="0"/>
                <w:sz w:val="21"/>
                <w:szCs w:val="21"/>
                <w:highlight w:val="none"/>
              </w:rPr>
            </w:pPr>
          </w:p>
        </w:tc>
      </w:tr>
      <w:tr>
        <w:tblPrEx>
          <w:tblW w:w="879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883" w:type="dxa"/>
          </w:tcPr>
          <w:p>
            <w:pPr>
              <w:widowControl/>
              <w:numPr>
                <w:ilvl w:val="0"/>
                <w:numId w:val="55"/>
              </w:numPr>
              <w:jc w:val="center"/>
              <w:rPr>
                <w:rFonts w:ascii="仿宋" w:eastAsia="仿宋" w:hAnsi="仿宋" w:cs="仿宋" w:hint="eastAsia"/>
                <w:color w:val="auto"/>
                <w:kern w:val="0"/>
                <w:sz w:val="21"/>
                <w:szCs w:val="21"/>
                <w:highlight w:val="none"/>
              </w:rPr>
            </w:pPr>
          </w:p>
        </w:tc>
        <w:tc>
          <w:tcPr>
            <w:tcW w:w="4583" w:type="dxa"/>
          </w:tcPr>
          <w:p>
            <w:pPr>
              <w:widowControl/>
              <w:jc w:val="center"/>
              <w:rPr>
                <w:rFonts w:ascii="仿宋" w:eastAsia="仿宋" w:hAnsi="仿宋" w:cs="仿宋" w:hint="eastAsia"/>
                <w:color w:val="auto"/>
                <w:kern w:val="0"/>
                <w:sz w:val="21"/>
                <w:szCs w:val="21"/>
                <w:highlight w:val="none"/>
              </w:rPr>
            </w:pPr>
            <w:r>
              <w:rPr>
                <w:rFonts w:ascii="仿宋" w:eastAsia="仿宋" w:hAnsi="仿宋" w:cs="仿宋" w:hint="eastAsia"/>
                <w:color w:val="auto"/>
                <w:kern w:val="0"/>
                <w:sz w:val="21"/>
                <w:szCs w:val="21"/>
                <w:highlight w:val="none"/>
              </w:rPr>
              <w:t xml:space="preserve">中国石油青海销售分公司多巴油库应急救援队</w:t>
            </w:r>
          </w:p>
        </w:tc>
        <w:tc>
          <w:tcPr>
            <w:tcW w:w="1953" w:type="dxa"/>
          </w:tcPr>
          <w:p>
            <w:pPr>
              <w:widowControl/>
              <w:jc w:val="center"/>
              <w:rPr>
                <w:rFonts w:ascii="仿宋" w:eastAsia="仿宋" w:hAnsi="仿宋" w:cs="仿宋" w:hint="eastAsia"/>
                <w:color w:val="auto"/>
                <w:kern w:val="0"/>
                <w:sz w:val="21"/>
                <w:szCs w:val="21"/>
                <w:highlight w:val="none"/>
              </w:rPr>
            </w:pPr>
            <w:r>
              <w:rPr>
                <w:rFonts w:ascii="仿宋" w:eastAsia="仿宋" w:hAnsi="仿宋" w:cs="仿宋" w:hint="eastAsia"/>
                <w:color w:val="auto"/>
                <w:kern w:val="0"/>
                <w:sz w:val="21"/>
                <w:szCs w:val="21"/>
                <w:highlight w:val="none"/>
              </w:rPr>
              <w:t xml:space="preserve">0971-2298935</w:t>
            </w:r>
          </w:p>
        </w:tc>
        <w:tc>
          <w:tcPr>
            <w:tcW w:w="1380" w:type="dxa"/>
          </w:tcPr>
          <w:p>
            <w:pPr>
              <w:widowControl/>
              <w:jc w:val="center"/>
              <w:rPr>
                <w:rFonts w:ascii="仿宋" w:eastAsia="仿宋" w:hAnsi="仿宋" w:cs="仿宋" w:hint="eastAsia"/>
                <w:color w:val="auto"/>
                <w:kern w:val="0"/>
                <w:sz w:val="21"/>
                <w:szCs w:val="21"/>
                <w:highlight w:val="none"/>
              </w:rPr>
            </w:pPr>
          </w:p>
        </w:tc>
      </w:tr>
    </w:tbl>
    <w:p>
      <w:pPr>
        <w:widowControl/>
        <w:shd w:val="clear" w:color="auto" w:fill="FFFFFF"/>
        <w:jc w:val="center"/>
        <w:rPr>
          <w:rFonts w:ascii="仿宋_GB2312" w:eastAsia="仿宋_GB2312"/>
          <w:color w:val="auto"/>
          <w:kern w:val="0"/>
          <w:sz w:val="32"/>
          <w:szCs w:val="32"/>
          <w:highlight w:val="none"/>
        </w:rPr>
      </w:pPr>
    </w:p>
    <w:p>
      <w:pPr>
        <w:widowControl/>
        <w:shd w:val="clear" w:color="auto" w:fill="FFFFFF"/>
        <w:jc w:val="center"/>
        <w:rPr>
          <w:rFonts w:ascii="仿宋_GB2312" w:eastAsia="仿宋_GB2312"/>
          <w:color w:val="auto"/>
          <w:kern w:val="0"/>
          <w:sz w:val="32"/>
          <w:szCs w:val="32"/>
          <w:highlight w:val="none"/>
        </w:rPr>
      </w:pPr>
      <w:r>
        <w:br w:type="page"/>
      </w:r>
    </w:p>
    <w:p>
      <w:pPr>
        <w:widowControl/>
        <w:shd w:val="clear" w:color="auto" w:fill="FFFFFF"/>
        <w:jc w:val="left"/>
        <w:rPr>
          <w:rFonts w:ascii="仿宋_GB2312" w:eastAsia="仿宋_GB2312"/>
          <w:color w:val="auto"/>
          <w:kern w:val="0"/>
          <w:sz w:val="32"/>
          <w:szCs w:val="32"/>
          <w:highlight w:val="none"/>
        </w:rPr>
      </w:pPr>
      <w:bookmarkStart w:id="223" w:name="_Toc1441"/>
      <w:r>
        <w:rPr>
          <w:rFonts w:ascii="黑体" w:eastAsia="黑体" w:hAnsi="黑体" w:cs="黑体" w:hint="eastAsia"/>
          <w:b/>
          <w:bCs/>
          <w:color w:val="auto"/>
          <w:kern w:val="0"/>
          <w:sz w:val="32"/>
          <w:szCs w:val="32"/>
          <w:highlight w:val="none"/>
        </w:rPr>
        <w:t xml:space="preserve">附件5：湟中县危险化学品生产安全事故应急物资情况</w:t>
      </w:r>
      <w:bookmarkEnd w:id="223"/>
    </w:p>
    <w:p>
      <w:pPr>
        <w:widowControl/>
        <w:shd w:val="clear" w:color="auto" w:fill="FFFFFF"/>
        <w:jc w:val="center"/>
        <w:rPr>
          <w:rFonts w:ascii="仿宋_GB2312" w:eastAsia="仿宋_GB2312"/>
          <w:b/>
          <w:bCs/>
          <w:color w:val="auto"/>
          <w:kern w:val="0"/>
          <w:sz w:val="32"/>
          <w:szCs w:val="32"/>
          <w:highlight w:val="none"/>
        </w:rPr>
      </w:pPr>
      <w:bookmarkStart w:id="224" w:name="_Toc21587"/>
      <w:r>
        <w:rPr>
          <w:rFonts w:ascii="仿宋" w:eastAsia="仿宋" w:hAnsi="仿宋" w:cs="仿宋" w:hint="eastAsia"/>
          <w:b/>
          <w:bCs/>
          <w:color w:val="auto"/>
          <w:kern w:val="0"/>
          <w:sz w:val="32"/>
          <w:szCs w:val="32"/>
          <w:highlight w:val="none"/>
        </w:rPr>
        <w:t xml:space="preserve">1、湟中县应急物资储备情况</w:t>
      </w:r>
      <w:bookmarkEnd w:id="224"/>
    </w:p>
    <w:tbl>
      <w:tblPr>
        <w:tblStyle w:val="TableNormal"/>
        <w:tblW w:w="82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59"/>
        <w:gridCol w:w="2747"/>
        <w:gridCol w:w="2108"/>
        <w:gridCol w:w="2715"/>
      </w:tblGrid>
      <w:tr>
        <w:tblPrEx>
          <w:tblW w:w="82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hAnsi="仿宋" w:cs="仿宋" w:hint="eastAsia"/>
                <w:b/>
                <w:bCs/>
                <w:color w:val="auto"/>
                <w:sz w:val="21"/>
                <w:szCs w:val="21"/>
                <w:highlight w:val="none"/>
              </w:rPr>
            </w:pPr>
            <w:r>
              <w:rPr>
                <w:rFonts w:ascii="仿宋" w:eastAsia="仿宋" w:hAnsi="仿宋" w:cs="仿宋" w:hint="eastAsia"/>
                <w:b/>
                <w:bCs/>
                <w:color w:val="auto"/>
                <w:sz w:val="21"/>
                <w:szCs w:val="21"/>
                <w:highlight w:val="none"/>
              </w:rPr>
              <w:t xml:space="preserve">序号</w:t>
            </w:r>
          </w:p>
        </w:tc>
        <w:tc>
          <w:tcPr>
            <w:tcW w:w="2747"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hAnsi="仿宋" w:cs="仿宋" w:hint="eastAsia"/>
                <w:b/>
                <w:bCs/>
                <w:color w:val="auto"/>
                <w:sz w:val="21"/>
                <w:szCs w:val="21"/>
                <w:highlight w:val="none"/>
              </w:rPr>
            </w:pPr>
            <w:r>
              <w:rPr>
                <w:rFonts w:ascii="仿宋" w:eastAsia="仿宋" w:hAnsi="仿宋" w:cs="仿宋" w:hint="eastAsia"/>
                <w:b/>
                <w:bCs/>
                <w:color w:val="auto"/>
                <w:sz w:val="21"/>
                <w:szCs w:val="21"/>
                <w:highlight w:val="none"/>
              </w:rPr>
              <w:t xml:space="preserve">名称</w:t>
            </w:r>
          </w:p>
        </w:tc>
        <w:tc>
          <w:tcPr>
            <w:tcW w:w="2108"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hAnsi="仿宋" w:cs="仿宋" w:hint="eastAsia"/>
                <w:b/>
                <w:bCs/>
                <w:color w:val="auto"/>
                <w:sz w:val="21"/>
                <w:szCs w:val="21"/>
                <w:highlight w:val="none"/>
              </w:rPr>
            </w:pPr>
            <w:r>
              <w:rPr>
                <w:rFonts w:ascii="仿宋" w:eastAsia="仿宋" w:hAnsi="仿宋" w:cs="仿宋" w:hint="eastAsia"/>
                <w:b/>
                <w:bCs/>
                <w:color w:val="auto"/>
                <w:sz w:val="21"/>
                <w:szCs w:val="21"/>
                <w:highlight w:val="none"/>
              </w:rPr>
              <w:t xml:space="preserve">单位</w:t>
            </w:r>
          </w:p>
        </w:tc>
        <w:tc>
          <w:tcPr>
            <w:tcW w:w="2715"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hAnsi="仿宋" w:cs="仿宋" w:hint="eastAsia"/>
                <w:b/>
                <w:bCs/>
                <w:color w:val="auto"/>
                <w:sz w:val="21"/>
                <w:szCs w:val="21"/>
                <w:highlight w:val="none"/>
              </w:rPr>
            </w:pPr>
            <w:r>
              <w:rPr>
                <w:rFonts w:ascii="仿宋" w:eastAsia="仿宋" w:hAnsi="仿宋" w:cs="仿宋" w:hint="eastAsia"/>
                <w:b/>
                <w:bCs/>
                <w:color w:val="auto"/>
                <w:sz w:val="21"/>
                <w:szCs w:val="21"/>
                <w:highlight w:val="none"/>
              </w:rPr>
              <w:t xml:space="preserve">数量</w:t>
            </w:r>
          </w:p>
        </w:tc>
      </w:tr>
      <w:tr>
        <w:tblPrEx>
          <w:tblW w:w="82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32"/>
        </w:trPr>
        <w:tc>
          <w:tcPr>
            <w:tcW w:w="659" w:type="dxa"/>
            <w:tcBorders>
              <w:top w:val="single" w:sz="4" w:space="0" w:color="auto"/>
              <w:left w:val="single" w:sz="4" w:space="0" w:color="auto"/>
              <w:bottom w:val="single" w:sz="4" w:space="0" w:color="auto"/>
              <w:right w:val="single" w:sz="4" w:space="0" w:color="auto"/>
            </w:tcBorders>
            <w:vAlign w:val="center"/>
          </w:tcPr>
          <w:p>
            <w:pPr>
              <w:numPr>
                <w:ilvl w:val="0"/>
                <w:numId w:val="60"/>
              </w:numPr>
              <w:jc w:val="center"/>
              <w:rPr>
                <w:rFonts w:ascii="仿宋" w:eastAsia="仿宋" w:hAnsi="仿宋" w:cs="仿宋" w:hint="eastAsia"/>
                <w:color w:val="auto"/>
                <w:sz w:val="21"/>
                <w:szCs w:val="21"/>
                <w:highlight w:val="none"/>
              </w:rPr>
            </w:pPr>
          </w:p>
        </w:tc>
        <w:tc>
          <w:tcPr>
            <w:tcW w:w="2747"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棉被</w:t>
            </w:r>
          </w:p>
        </w:tc>
        <w:tc>
          <w:tcPr>
            <w:tcW w:w="2108"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床</w:t>
            </w:r>
          </w:p>
        </w:tc>
        <w:tc>
          <w:tcPr>
            <w:tcW w:w="271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591</w:t>
            </w:r>
          </w:p>
        </w:tc>
      </w:tr>
      <w:tr>
        <w:tblPrEx>
          <w:tblW w:w="82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59" w:type="dxa"/>
            <w:tcBorders>
              <w:top w:val="single" w:sz="4" w:space="0" w:color="auto"/>
              <w:left w:val="single" w:sz="4" w:space="0" w:color="auto"/>
              <w:bottom w:val="single" w:sz="4" w:space="0" w:color="auto"/>
              <w:right w:val="single" w:sz="4" w:space="0" w:color="auto"/>
            </w:tcBorders>
            <w:vAlign w:val="center"/>
          </w:tcPr>
          <w:p>
            <w:pPr>
              <w:numPr>
                <w:ilvl w:val="0"/>
                <w:numId w:val="60"/>
              </w:numPr>
              <w:jc w:val="center"/>
              <w:rPr>
                <w:rFonts w:ascii="仿宋" w:eastAsia="仿宋" w:hAnsi="仿宋" w:cs="仿宋" w:hint="eastAsia"/>
                <w:color w:val="auto"/>
                <w:sz w:val="21"/>
                <w:szCs w:val="21"/>
                <w:highlight w:val="none"/>
              </w:rPr>
            </w:pPr>
          </w:p>
        </w:tc>
        <w:tc>
          <w:tcPr>
            <w:tcW w:w="2747"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12㎡棉帐篷</w:t>
            </w:r>
          </w:p>
        </w:tc>
        <w:tc>
          <w:tcPr>
            <w:tcW w:w="2108"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顶</w:t>
            </w:r>
          </w:p>
        </w:tc>
        <w:tc>
          <w:tcPr>
            <w:tcW w:w="271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216</w:t>
            </w:r>
          </w:p>
        </w:tc>
      </w:tr>
      <w:tr>
        <w:tblPrEx>
          <w:tblW w:w="82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59" w:type="dxa"/>
            <w:tcBorders>
              <w:top w:val="single" w:sz="4" w:space="0" w:color="auto"/>
              <w:left w:val="single" w:sz="4" w:space="0" w:color="auto"/>
              <w:bottom w:val="single" w:sz="4" w:space="0" w:color="auto"/>
              <w:right w:val="single" w:sz="4" w:space="0" w:color="auto"/>
            </w:tcBorders>
            <w:vAlign w:val="center"/>
          </w:tcPr>
          <w:p>
            <w:pPr>
              <w:numPr>
                <w:ilvl w:val="0"/>
                <w:numId w:val="60"/>
              </w:numPr>
              <w:jc w:val="center"/>
              <w:rPr>
                <w:rFonts w:ascii="仿宋" w:eastAsia="仿宋" w:hAnsi="仿宋" w:cs="仿宋" w:hint="eastAsia"/>
                <w:color w:val="auto"/>
                <w:sz w:val="21"/>
                <w:szCs w:val="21"/>
                <w:highlight w:val="none"/>
              </w:rPr>
            </w:pPr>
          </w:p>
        </w:tc>
        <w:tc>
          <w:tcPr>
            <w:tcW w:w="2747"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棉衣裤</w:t>
            </w:r>
          </w:p>
        </w:tc>
        <w:tc>
          <w:tcPr>
            <w:tcW w:w="2108"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套</w:t>
            </w:r>
          </w:p>
        </w:tc>
        <w:tc>
          <w:tcPr>
            <w:tcW w:w="271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299</w:t>
            </w:r>
          </w:p>
        </w:tc>
      </w:tr>
      <w:tr>
        <w:tblPrEx>
          <w:tblW w:w="82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59" w:type="dxa"/>
            <w:tcBorders>
              <w:top w:val="single" w:sz="4" w:space="0" w:color="auto"/>
              <w:left w:val="single" w:sz="4" w:space="0" w:color="auto"/>
              <w:bottom w:val="single" w:sz="4" w:space="0" w:color="auto"/>
              <w:right w:val="single" w:sz="4" w:space="0" w:color="auto"/>
            </w:tcBorders>
            <w:vAlign w:val="center"/>
          </w:tcPr>
          <w:p>
            <w:pPr>
              <w:numPr>
                <w:ilvl w:val="0"/>
                <w:numId w:val="60"/>
              </w:numPr>
              <w:jc w:val="center"/>
              <w:rPr>
                <w:rFonts w:ascii="仿宋" w:eastAsia="仿宋" w:hAnsi="仿宋" w:cs="仿宋" w:hint="eastAsia"/>
                <w:color w:val="auto"/>
                <w:sz w:val="21"/>
                <w:szCs w:val="21"/>
                <w:highlight w:val="none"/>
              </w:rPr>
            </w:pPr>
          </w:p>
        </w:tc>
        <w:tc>
          <w:tcPr>
            <w:tcW w:w="2747"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折叠床</w:t>
            </w:r>
          </w:p>
        </w:tc>
        <w:tc>
          <w:tcPr>
            <w:tcW w:w="2108"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张</w:t>
            </w:r>
          </w:p>
        </w:tc>
        <w:tc>
          <w:tcPr>
            <w:tcW w:w="271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418</w:t>
            </w:r>
          </w:p>
        </w:tc>
      </w:tr>
      <w:tr>
        <w:tblPrEx>
          <w:tblW w:w="82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59" w:type="dxa"/>
            <w:tcBorders>
              <w:top w:val="single" w:sz="4" w:space="0" w:color="auto"/>
              <w:left w:val="single" w:sz="4" w:space="0" w:color="auto"/>
              <w:bottom w:val="single" w:sz="4" w:space="0" w:color="auto"/>
              <w:right w:val="single" w:sz="4" w:space="0" w:color="auto"/>
            </w:tcBorders>
            <w:vAlign w:val="center"/>
          </w:tcPr>
          <w:p>
            <w:pPr>
              <w:numPr>
                <w:ilvl w:val="0"/>
                <w:numId w:val="60"/>
              </w:numPr>
              <w:jc w:val="center"/>
              <w:rPr>
                <w:rFonts w:ascii="仿宋" w:eastAsia="仿宋" w:hAnsi="仿宋" w:cs="仿宋" w:hint="eastAsia"/>
                <w:color w:val="auto"/>
                <w:sz w:val="21"/>
                <w:szCs w:val="21"/>
                <w:highlight w:val="none"/>
              </w:rPr>
            </w:pPr>
          </w:p>
        </w:tc>
        <w:tc>
          <w:tcPr>
            <w:tcW w:w="2747"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棉大衣</w:t>
            </w:r>
          </w:p>
        </w:tc>
        <w:tc>
          <w:tcPr>
            <w:tcW w:w="2108"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件</w:t>
            </w:r>
          </w:p>
        </w:tc>
        <w:tc>
          <w:tcPr>
            <w:tcW w:w="271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436</w:t>
            </w:r>
          </w:p>
        </w:tc>
      </w:tr>
      <w:tr>
        <w:tblPrEx>
          <w:tblW w:w="82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59" w:type="dxa"/>
            <w:tcBorders>
              <w:top w:val="single" w:sz="4" w:space="0" w:color="auto"/>
              <w:left w:val="single" w:sz="4" w:space="0" w:color="auto"/>
              <w:bottom w:val="single" w:sz="4" w:space="0" w:color="auto"/>
              <w:right w:val="single" w:sz="4" w:space="0" w:color="auto"/>
            </w:tcBorders>
            <w:vAlign w:val="center"/>
          </w:tcPr>
          <w:p>
            <w:pPr>
              <w:numPr>
                <w:ilvl w:val="0"/>
                <w:numId w:val="60"/>
              </w:numPr>
              <w:jc w:val="center"/>
              <w:rPr>
                <w:rFonts w:ascii="仿宋" w:eastAsia="仿宋" w:hAnsi="仿宋" w:cs="仿宋" w:hint="eastAsia"/>
                <w:color w:val="auto"/>
                <w:sz w:val="21"/>
                <w:szCs w:val="21"/>
                <w:highlight w:val="none"/>
              </w:rPr>
            </w:pPr>
          </w:p>
        </w:tc>
        <w:tc>
          <w:tcPr>
            <w:tcW w:w="2747"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雨靴</w:t>
            </w:r>
          </w:p>
        </w:tc>
        <w:tc>
          <w:tcPr>
            <w:tcW w:w="2108"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双</w:t>
            </w:r>
          </w:p>
        </w:tc>
        <w:tc>
          <w:tcPr>
            <w:tcW w:w="271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763</w:t>
            </w:r>
          </w:p>
        </w:tc>
      </w:tr>
      <w:tr>
        <w:tblPrEx>
          <w:tblW w:w="82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59" w:type="dxa"/>
            <w:tcBorders>
              <w:top w:val="single" w:sz="4" w:space="0" w:color="auto"/>
              <w:left w:val="single" w:sz="4" w:space="0" w:color="auto"/>
              <w:bottom w:val="single" w:sz="4" w:space="0" w:color="auto"/>
              <w:right w:val="single" w:sz="4" w:space="0" w:color="auto"/>
            </w:tcBorders>
            <w:vAlign w:val="center"/>
          </w:tcPr>
          <w:p>
            <w:pPr>
              <w:numPr>
                <w:ilvl w:val="0"/>
                <w:numId w:val="60"/>
              </w:numPr>
              <w:jc w:val="center"/>
              <w:rPr>
                <w:rFonts w:ascii="仿宋" w:eastAsia="仿宋" w:hAnsi="仿宋" w:cs="仿宋" w:hint="eastAsia"/>
                <w:color w:val="auto"/>
                <w:sz w:val="21"/>
                <w:szCs w:val="21"/>
                <w:highlight w:val="none"/>
              </w:rPr>
            </w:pPr>
          </w:p>
        </w:tc>
        <w:tc>
          <w:tcPr>
            <w:tcW w:w="2747"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发电机</w:t>
            </w:r>
          </w:p>
        </w:tc>
        <w:tc>
          <w:tcPr>
            <w:tcW w:w="2108"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台</w:t>
            </w:r>
          </w:p>
        </w:tc>
        <w:tc>
          <w:tcPr>
            <w:tcW w:w="271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74</w:t>
            </w:r>
          </w:p>
        </w:tc>
      </w:tr>
      <w:tr>
        <w:tblPrEx>
          <w:tblW w:w="82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59" w:type="dxa"/>
            <w:tcBorders>
              <w:top w:val="single" w:sz="4" w:space="0" w:color="auto"/>
              <w:left w:val="single" w:sz="4" w:space="0" w:color="auto"/>
              <w:bottom w:val="single" w:sz="4" w:space="0" w:color="auto"/>
              <w:right w:val="single" w:sz="4" w:space="0" w:color="auto"/>
            </w:tcBorders>
            <w:vAlign w:val="center"/>
          </w:tcPr>
          <w:p>
            <w:pPr>
              <w:numPr>
                <w:ilvl w:val="0"/>
                <w:numId w:val="60"/>
              </w:numPr>
              <w:jc w:val="center"/>
              <w:rPr>
                <w:rFonts w:ascii="仿宋" w:eastAsia="仿宋" w:hAnsi="仿宋" w:cs="仿宋" w:hint="eastAsia"/>
                <w:color w:val="auto"/>
                <w:sz w:val="21"/>
                <w:szCs w:val="21"/>
                <w:highlight w:val="none"/>
              </w:rPr>
            </w:pPr>
          </w:p>
        </w:tc>
        <w:tc>
          <w:tcPr>
            <w:tcW w:w="2747"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扩音器</w:t>
            </w:r>
          </w:p>
        </w:tc>
        <w:tc>
          <w:tcPr>
            <w:tcW w:w="2108"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个</w:t>
            </w:r>
          </w:p>
        </w:tc>
        <w:tc>
          <w:tcPr>
            <w:tcW w:w="271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118</w:t>
            </w:r>
          </w:p>
        </w:tc>
      </w:tr>
      <w:tr>
        <w:tblPrEx>
          <w:tblW w:w="82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59" w:type="dxa"/>
            <w:tcBorders>
              <w:top w:val="single" w:sz="4" w:space="0" w:color="auto"/>
              <w:left w:val="single" w:sz="4" w:space="0" w:color="auto"/>
              <w:bottom w:val="single" w:sz="4" w:space="0" w:color="auto"/>
              <w:right w:val="single" w:sz="4" w:space="0" w:color="auto"/>
            </w:tcBorders>
            <w:vAlign w:val="center"/>
          </w:tcPr>
          <w:p>
            <w:pPr>
              <w:numPr>
                <w:ilvl w:val="0"/>
                <w:numId w:val="60"/>
              </w:numPr>
              <w:jc w:val="center"/>
              <w:rPr>
                <w:rFonts w:ascii="仿宋" w:eastAsia="仿宋" w:hAnsi="仿宋" w:cs="仿宋" w:hint="eastAsia"/>
                <w:color w:val="auto"/>
                <w:sz w:val="21"/>
                <w:szCs w:val="21"/>
                <w:highlight w:val="none"/>
              </w:rPr>
            </w:pPr>
          </w:p>
        </w:tc>
        <w:tc>
          <w:tcPr>
            <w:tcW w:w="2747"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棉褥</w:t>
            </w:r>
          </w:p>
        </w:tc>
        <w:tc>
          <w:tcPr>
            <w:tcW w:w="2108"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床</w:t>
            </w:r>
          </w:p>
        </w:tc>
        <w:tc>
          <w:tcPr>
            <w:tcW w:w="271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457</w:t>
            </w:r>
          </w:p>
        </w:tc>
      </w:tr>
      <w:tr>
        <w:tblPrEx>
          <w:tblW w:w="82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07"/>
        </w:trPr>
        <w:tc>
          <w:tcPr>
            <w:tcW w:w="659" w:type="dxa"/>
            <w:tcBorders>
              <w:top w:val="single" w:sz="4" w:space="0" w:color="auto"/>
              <w:left w:val="single" w:sz="4" w:space="0" w:color="auto"/>
              <w:right w:val="single" w:sz="4" w:space="0" w:color="auto"/>
            </w:tcBorders>
            <w:vAlign w:val="center"/>
          </w:tcPr>
          <w:p>
            <w:pPr>
              <w:numPr>
                <w:ilvl w:val="0"/>
                <w:numId w:val="60"/>
              </w:numPr>
              <w:jc w:val="center"/>
              <w:rPr>
                <w:rFonts w:ascii="仿宋" w:eastAsia="仿宋" w:hAnsi="仿宋" w:cs="仿宋" w:hint="eastAsia"/>
                <w:color w:val="auto"/>
                <w:sz w:val="21"/>
                <w:szCs w:val="21"/>
                <w:highlight w:val="none"/>
              </w:rPr>
            </w:pPr>
          </w:p>
        </w:tc>
        <w:tc>
          <w:tcPr>
            <w:tcW w:w="2747" w:type="dxa"/>
            <w:tcBorders>
              <w:top w:val="single" w:sz="4" w:space="0" w:color="auto"/>
              <w:left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12㎡单帐篷</w:t>
            </w:r>
          </w:p>
        </w:tc>
        <w:tc>
          <w:tcPr>
            <w:tcW w:w="2108" w:type="dxa"/>
            <w:tcBorders>
              <w:top w:val="single" w:sz="4" w:space="0" w:color="auto"/>
              <w:left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顶</w:t>
            </w:r>
          </w:p>
        </w:tc>
        <w:tc>
          <w:tcPr>
            <w:tcW w:w="2715" w:type="dxa"/>
            <w:tcBorders>
              <w:top w:val="single" w:sz="4" w:space="0" w:color="auto"/>
              <w:left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330</w:t>
            </w:r>
          </w:p>
        </w:tc>
      </w:tr>
      <w:tr>
        <w:tblPrEx>
          <w:tblW w:w="82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4"/>
        </w:trPr>
        <w:tc>
          <w:tcPr>
            <w:tcW w:w="659" w:type="dxa"/>
            <w:tcBorders>
              <w:top w:val="single" w:sz="4" w:space="0" w:color="auto"/>
              <w:left w:val="single" w:sz="4" w:space="0" w:color="auto"/>
              <w:bottom w:val="single" w:sz="4" w:space="0" w:color="auto"/>
              <w:right w:val="single" w:sz="4" w:space="0" w:color="auto"/>
            </w:tcBorders>
            <w:vAlign w:val="center"/>
          </w:tcPr>
          <w:p>
            <w:pPr>
              <w:numPr>
                <w:ilvl w:val="0"/>
                <w:numId w:val="60"/>
              </w:numPr>
              <w:jc w:val="center"/>
              <w:rPr>
                <w:rFonts w:ascii="仿宋" w:eastAsia="仿宋" w:hAnsi="仿宋" w:cs="仿宋" w:hint="eastAsia"/>
                <w:color w:val="auto"/>
                <w:sz w:val="21"/>
                <w:szCs w:val="21"/>
                <w:highlight w:val="none"/>
              </w:rPr>
            </w:pPr>
          </w:p>
        </w:tc>
        <w:tc>
          <w:tcPr>
            <w:tcW w:w="2747"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应急灯</w:t>
            </w:r>
          </w:p>
        </w:tc>
        <w:tc>
          <w:tcPr>
            <w:tcW w:w="2108"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个</w:t>
            </w:r>
          </w:p>
        </w:tc>
        <w:tc>
          <w:tcPr>
            <w:tcW w:w="271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1178</w:t>
            </w:r>
          </w:p>
        </w:tc>
      </w:tr>
      <w:tr>
        <w:tblPrEx>
          <w:tblW w:w="82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659" w:type="dxa"/>
            <w:tcBorders>
              <w:top w:val="single" w:sz="4" w:space="0" w:color="auto"/>
              <w:left w:val="single" w:sz="4" w:space="0" w:color="auto"/>
              <w:bottom w:val="single" w:sz="4" w:space="0" w:color="auto"/>
              <w:right w:val="single" w:sz="4" w:space="0" w:color="auto"/>
            </w:tcBorders>
            <w:vAlign w:val="center"/>
          </w:tcPr>
          <w:p>
            <w:pPr>
              <w:numPr>
                <w:ilvl w:val="0"/>
                <w:numId w:val="60"/>
              </w:numPr>
              <w:jc w:val="center"/>
              <w:rPr>
                <w:rFonts w:ascii="仿宋" w:eastAsia="仿宋" w:hAnsi="仿宋" w:cs="仿宋" w:hint="eastAsia"/>
                <w:color w:val="auto"/>
                <w:sz w:val="21"/>
                <w:szCs w:val="21"/>
                <w:highlight w:val="none"/>
              </w:rPr>
            </w:pPr>
          </w:p>
        </w:tc>
        <w:tc>
          <w:tcPr>
            <w:tcW w:w="2747"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气垫床</w:t>
            </w:r>
          </w:p>
        </w:tc>
        <w:tc>
          <w:tcPr>
            <w:tcW w:w="2108"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个</w:t>
            </w:r>
          </w:p>
        </w:tc>
        <w:tc>
          <w:tcPr>
            <w:tcW w:w="271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500</w:t>
            </w:r>
          </w:p>
        </w:tc>
      </w:tr>
      <w:tr>
        <w:tblPrEx>
          <w:tblW w:w="82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0"/>
        </w:trPr>
        <w:tc>
          <w:tcPr>
            <w:tcW w:w="659" w:type="dxa"/>
            <w:tcBorders>
              <w:top w:val="single" w:sz="4" w:space="0" w:color="auto"/>
              <w:left w:val="single" w:sz="4" w:space="0" w:color="auto"/>
              <w:bottom w:val="single" w:sz="4" w:space="0" w:color="auto"/>
              <w:right w:val="single" w:sz="4" w:space="0" w:color="auto"/>
            </w:tcBorders>
            <w:vAlign w:val="center"/>
          </w:tcPr>
          <w:p>
            <w:pPr>
              <w:numPr>
                <w:ilvl w:val="0"/>
                <w:numId w:val="60"/>
              </w:numPr>
              <w:jc w:val="center"/>
              <w:rPr>
                <w:rFonts w:ascii="仿宋" w:eastAsia="仿宋" w:hAnsi="仿宋" w:cs="仿宋" w:hint="eastAsia"/>
                <w:color w:val="auto"/>
                <w:sz w:val="21"/>
                <w:szCs w:val="21"/>
                <w:highlight w:val="none"/>
              </w:rPr>
            </w:pPr>
          </w:p>
        </w:tc>
        <w:tc>
          <w:tcPr>
            <w:tcW w:w="2747"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铁锨</w:t>
            </w:r>
          </w:p>
        </w:tc>
        <w:tc>
          <w:tcPr>
            <w:tcW w:w="2108"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把</w:t>
            </w:r>
          </w:p>
        </w:tc>
        <w:tc>
          <w:tcPr>
            <w:tcW w:w="271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700</w:t>
            </w:r>
          </w:p>
        </w:tc>
      </w:tr>
      <w:tr>
        <w:tblPrEx>
          <w:tblW w:w="82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59" w:type="dxa"/>
            <w:tcBorders>
              <w:top w:val="single" w:sz="4" w:space="0" w:color="auto"/>
              <w:left w:val="single" w:sz="4" w:space="0" w:color="auto"/>
              <w:right w:val="single" w:sz="4" w:space="0" w:color="auto"/>
            </w:tcBorders>
            <w:vAlign w:val="center"/>
          </w:tcPr>
          <w:p>
            <w:pPr>
              <w:numPr>
                <w:ilvl w:val="0"/>
                <w:numId w:val="60"/>
              </w:numPr>
              <w:jc w:val="center"/>
              <w:rPr>
                <w:rFonts w:ascii="仿宋" w:eastAsia="仿宋" w:hAnsi="仿宋" w:cs="仿宋" w:hint="eastAsia"/>
                <w:color w:val="auto"/>
                <w:sz w:val="21"/>
                <w:szCs w:val="21"/>
                <w:highlight w:val="none"/>
              </w:rPr>
            </w:pPr>
          </w:p>
        </w:tc>
        <w:tc>
          <w:tcPr>
            <w:tcW w:w="2747" w:type="dxa"/>
            <w:tcBorders>
              <w:top w:val="single" w:sz="4" w:space="0" w:color="auto"/>
              <w:left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抽水泵</w:t>
            </w:r>
          </w:p>
        </w:tc>
        <w:tc>
          <w:tcPr>
            <w:tcW w:w="2108"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台</w:t>
            </w:r>
          </w:p>
        </w:tc>
        <w:tc>
          <w:tcPr>
            <w:tcW w:w="271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47</w:t>
            </w:r>
          </w:p>
        </w:tc>
      </w:tr>
      <w:tr>
        <w:tblPrEx>
          <w:tblW w:w="82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59" w:type="dxa"/>
            <w:tcBorders>
              <w:top w:val="single" w:sz="4" w:space="0" w:color="auto"/>
              <w:left w:val="single" w:sz="4" w:space="0" w:color="auto"/>
              <w:bottom w:val="single" w:sz="4" w:space="0" w:color="auto"/>
              <w:right w:val="single" w:sz="4" w:space="0" w:color="auto"/>
            </w:tcBorders>
            <w:vAlign w:val="center"/>
          </w:tcPr>
          <w:p>
            <w:pPr>
              <w:numPr>
                <w:ilvl w:val="0"/>
                <w:numId w:val="60"/>
              </w:numPr>
              <w:jc w:val="center"/>
              <w:rPr>
                <w:rFonts w:ascii="仿宋" w:eastAsia="仿宋" w:hAnsi="仿宋" w:cs="仿宋" w:hint="eastAsia"/>
                <w:color w:val="auto"/>
                <w:sz w:val="21"/>
                <w:szCs w:val="21"/>
                <w:highlight w:val="none"/>
              </w:rPr>
            </w:pPr>
          </w:p>
        </w:tc>
        <w:tc>
          <w:tcPr>
            <w:tcW w:w="2747"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编织袋</w:t>
            </w:r>
          </w:p>
        </w:tc>
        <w:tc>
          <w:tcPr>
            <w:tcW w:w="2108"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条</w:t>
            </w:r>
          </w:p>
        </w:tc>
        <w:tc>
          <w:tcPr>
            <w:tcW w:w="271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57500</w:t>
            </w:r>
          </w:p>
        </w:tc>
      </w:tr>
      <w:tr>
        <w:tblPrEx>
          <w:tblW w:w="82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05"/>
        </w:trPr>
        <w:tc>
          <w:tcPr>
            <w:tcW w:w="659" w:type="dxa"/>
            <w:tcBorders>
              <w:top w:val="single" w:sz="4" w:space="0" w:color="auto"/>
              <w:left w:val="single" w:sz="4" w:space="0" w:color="auto"/>
              <w:right w:val="single" w:sz="4" w:space="0" w:color="auto"/>
            </w:tcBorders>
            <w:vAlign w:val="center"/>
          </w:tcPr>
          <w:p>
            <w:pPr>
              <w:numPr>
                <w:ilvl w:val="0"/>
                <w:numId w:val="60"/>
              </w:numPr>
              <w:jc w:val="center"/>
              <w:rPr>
                <w:rFonts w:ascii="仿宋" w:eastAsia="仿宋" w:hAnsi="仿宋" w:cs="仿宋" w:hint="eastAsia"/>
                <w:color w:val="auto"/>
                <w:sz w:val="21"/>
                <w:szCs w:val="21"/>
                <w:highlight w:val="none"/>
              </w:rPr>
            </w:pPr>
          </w:p>
        </w:tc>
        <w:tc>
          <w:tcPr>
            <w:tcW w:w="2747" w:type="dxa"/>
            <w:tcBorders>
              <w:top w:val="single" w:sz="4" w:space="0" w:color="auto"/>
              <w:left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应急包</w:t>
            </w:r>
          </w:p>
        </w:tc>
        <w:tc>
          <w:tcPr>
            <w:tcW w:w="2108" w:type="dxa"/>
            <w:tcBorders>
              <w:top w:val="single" w:sz="4" w:space="0" w:color="auto"/>
              <w:left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个</w:t>
            </w:r>
          </w:p>
        </w:tc>
        <w:tc>
          <w:tcPr>
            <w:tcW w:w="2715" w:type="dxa"/>
            <w:tcBorders>
              <w:top w:val="single" w:sz="4" w:space="0" w:color="auto"/>
              <w:left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2890</w:t>
            </w:r>
          </w:p>
        </w:tc>
      </w:tr>
      <w:tr>
        <w:tblPrEx>
          <w:tblW w:w="82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59" w:type="dxa"/>
            <w:tcBorders>
              <w:top w:val="single" w:sz="4" w:space="0" w:color="auto"/>
              <w:left w:val="single" w:sz="4" w:space="0" w:color="auto"/>
              <w:bottom w:val="single" w:sz="4" w:space="0" w:color="auto"/>
              <w:right w:val="single" w:sz="4" w:space="0" w:color="auto"/>
            </w:tcBorders>
            <w:vAlign w:val="center"/>
          </w:tcPr>
          <w:p>
            <w:pPr>
              <w:numPr>
                <w:ilvl w:val="0"/>
                <w:numId w:val="60"/>
              </w:numPr>
              <w:jc w:val="center"/>
              <w:rPr>
                <w:rFonts w:ascii="仿宋" w:eastAsia="仿宋" w:hAnsi="仿宋" w:cs="仿宋" w:hint="eastAsia"/>
                <w:color w:val="auto"/>
                <w:sz w:val="21"/>
                <w:szCs w:val="21"/>
                <w:highlight w:val="none"/>
              </w:rPr>
            </w:pPr>
          </w:p>
        </w:tc>
        <w:tc>
          <w:tcPr>
            <w:tcW w:w="2747"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软体水桶</w:t>
            </w:r>
          </w:p>
        </w:tc>
        <w:tc>
          <w:tcPr>
            <w:tcW w:w="2108"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个 </w:t>
            </w:r>
          </w:p>
        </w:tc>
        <w:tc>
          <w:tcPr>
            <w:tcW w:w="271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290</w:t>
            </w:r>
          </w:p>
        </w:tc>
      </w:tr>
      <w:tr>
        <w:tblPrEx>
          <w:tblW w:w="82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59" w:type="dxa"/>
            <w:tcBorders>
              <w:top w:val="single" w:sz="4" w:space="0" w:color="auto"/>
              <w:left w:val="single" w:sz="4" w:space="0" w:color="auto"/>
              <w:bottom w:val="single" w:sz="4" w:space="0" w:color="auto"/>
              <w:right w:val="single" w:sz="4" w:space="0" w:color="auto"/>
            </w:tcBorders>
            <w:vAlign w:val="center"/>
          </w:tcPr>
          <w:p>
            <w:pPr>
              <w:numPr>
                <w:ilvl w:val="0"/>
                <w:numId w:val="60"/>
              </w:numPr>
              <w:jc w:val="center"/>
              <w:rPr>
                <w:rFonts w:ascii="仿宋" w:eastAsia="仿宋" w:hAnsi="仿宋" w:cs="仿宋" w:hint="eastAsia"/>
                <w:color w:val="auto"/>
                <w:sz w:val="21"/>
                <w:szCs w:val="21"/>
                <w:highlight w:val="none"/>
              </w:rPr>
            </w:pPr>
          </w:p>
        </w:tc>
        <w:tc>
          <w:tcPr>
            <w:tcW w:w="2747"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军用毛毡</w:t>
            </w:r>
          </w:p>
        </w:tc>
        <w:tc>
          <w:tcPr>
            <w:tcW w:w="2108"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条</w:t>
            </w:r>
          </w:p>
        </w:tc>
        <w:tc>
          <w:tcPr>
            <w:tcW w:w="271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296</w:t>
            </w:r>
          </w:p>
        </w:tc>
      </w:tr>
      <w:tr>
        <w:tblPrEx>
          <w:tblW w:w="82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59" w:type="dxa"/>
            <w:tcBorders>
              <w:top w:val="single" w:sz="4" w:space="0" w:color="auto"/>
              <w:left w:val="single" w:sz="4" w:space="0" w:color="auto"/>
              <w:bottom w:val="single" w:sz="4" w:space="0" w:color="auto"/>
              <w:right w:val="single" w:sz="4" w:space="0" w:color="auto"/>
            </w:tcBorders>
            <w:vAlign w:val="center"/>
          </w:tcPr>
          <w:p>
            <w:pPr>
              <w:numPr>
                <w:ilvl w:val="0"/>
                <w:numId w:val="60"/>
              </w:numPr>
              <w:jc w:val="center"/>
              <w:rPr>
                <w:rFonts w:ascii="仿宋" w:eastAsia="仿宋" w:hAnsi="仿宋" w:cs="仿宋" w:hint="eastAsia"/>
                <w:color w:val="auto"/>
                <w:sz w:val="21"/>
                <w:szCs w:val="21"/>
                <w:highlight w:val="none"/>
              </w:rPr>
            </w:pPr>
          </w:p>
        </w:tc>
        <w:tc>
          <w:tcPr>
            <w:tcW w:w="2747"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雨伞</w:t>
            </w:r>
          </w:p>
        </w:tc>
        <w:tc>
          <w:tcPr>
            <w:tcW w:w="2108"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把</w:t>
            </w:r>
          </w:p>
        </w:tc>
        <w:tc>
          <w:tcPr>
            <w:tcW w:w="271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900</w:t>
            </w:r>
          </w:p>
        </w:tc>
      </w:tr>
      <w:tr>
        <w:tblPrEx>
          <w:tblW w:w="82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59" w:type="dxa"/>
            <w:tcBorders>
              <w:top w:val="single" w:sz="4" w:space="0" w:color="auto"/>
              <w:left w:val="single" w:sz="4" w:space="0" w:color="auto"/>
              <w:bottom w:val="single" w:sz="4" w:space="0" w:color="auto"/>
              <w:right w:val="single" w:sz="4" w:space="0" w:color="auto"/>
            </w:tcBorders>
            <w:vAlign w:val="center"/>
          </w:tcPr>
          <w:p>
            <w:pPr>
              <w:numPr>
                <w:ilvl w:val="0"/>
                <w:numId w:val="60"/>
              </w:numPr>
              <w:jc w:val="center"/>
              <w:rPr>
                <w:rFonts w:ascii="仿宋" w:eastAsia="仿宋" w:hAnsi="仿宋" w:cs="仿宋" w:hint="eastAsia"/>
                <w:color w:val="auto"/>
                <w:sz w:val="21"/>
                <w:szCs w:val="21"/>
                <w:highlight w:val="none"/>
              </w:rPr>
            </w:pPr>
          </w:p>
        </w:tc>
        <w:tc>
          <w:tcPr>
            <w:tcW w:w="2747"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棉被</w:t>
            </w:r>
          </w:p>
        </w:tc>
        <w:tc>
          <w:tcPr>
            <w:tcW w:w="2108"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件</w:t>
            </w:r>
          </w:p>
        </w:tc>
        <w:tc>
          <w:tcPr>
            <w:tcW w:w="271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仿宋" w:eastAsia="仿宋" w:hAnsi="仿宋" w:cs="仿宋" w:hint="eastAsia"/>
                <w:color w:val="auto"/>
                <w:sz w:val="21"/>
                <w:szCs w:val="21"/>
                <w:highlight w:val="none"/>
              </w:rPr>
            </w:pPr>
            <w:r>
              <w:rPr>
                <w:rFonts w:ascii="仿宋" w:eastAsia="仿宋" w:hAnsi="仿宋" w:cs="仿宋" w:hint="eastAsia"/>
                <w:color w:val="auto"/>
                <w:kern w:val="0"/>
                <w:sz w:val="21"/>
                <w:szCs w:val="21"/>
                <w:highlight w:val="none"/>
              </w:rPr>
              <w:t xml:space="preserve">6000</w:t>
            </w:r>
          </w:p>
        </w:tc>
      </w:tr>
    </w:tbl>
    <w:p>
      <w:pPr>
        <w:pStyle w:val="BodyTextFirstIndent"/>
        <w:ind w:firstLine="280"/>
        <w:rPr>
          <w:color w:val="auto"/>
          <w:highlight w:val="none"/>
          <w:lang w:val="en-US"/>
        </w:rPr>
      </w:pPr>
    </w:p>
    <w:p>
      <w:pPr>
        <w:widowControl/>
        <w:shd w:val="clear" w:color="auto" w:fill="FFFFFF"/>
        <w:jc w:val="center"/>
        <w:rPr>
          <w:rFonts w:ascii="仿宋_GB2312" w:eastAsia="仿宋_GB2312"/>
          <w:b/>
          <w:bCs/>
          <w:color w:val="auto"/>
          <w:kern w:val="0"/>
          <w:sz w:val="32"/>
          <w:szCs w:val="32"/>
          <w:highlight w:val="none"/>
        </w:rPr>
      </w:pPr>
      <w:r>
        <w:br w:type="page"/>
      </w:r>
    </w:p>
    <w:p>
      <w:pPr>
        <w:widowControl/>
        <w:shd w:val="clear" w:color="auto" w:fill="FFFFFF"/>
        <w:jc w:val="center"/>
        <w:rPr>
          <w:rFonts w:ascii="仿宋" w:eastAsia="仿宋" w:hAnsi="仿宋" w:cs="仿宋" w:hint="eastAsia"/>
          <w:b/>
          <w:bCs/>
          <w:color w:val="auto"/>
          <w:kern w:val="0"/>
          <w:sz w:val="32"/>
          <w:szCs w:val="32"/>
          <w:highlight w:val="none"/>
        </w:rPr>
      </w:pPr>
      <w:bookmarkStart w:id="225" w:name="_Toc4936"/>
      <w:r>
        <w:rPr>
          <w:rFonts w:ascii="仿宋" w:eastAsia="仿宋" w:hAnsi="仿宋" w:cs="仿宋" w:hint="eastAsia"/>
          <w:b/>
          <w:bCs/>
          <w:color w:val="auto"/>
          <w:kern w:val="0"/>
          <w:sz w:val="32"/>
          <w:szCs w:val="32"/>
          <w:highlight w:val="none"/>
        </w:rPr>
        <w:t xml:space="preserve">2、</w:t>
      </w:r>
      <w:bookmarkEnd w:id="225"/>
      <w:bookmarkStart w:id="226" w:name="_Toc15354"/>
      <w:r>
        <w:rPr>
          <w:rFonts w:ascii="仿宋" w:eastAsia="仿宋" w:hAnsi="仿宋" w:cs="仿宋" w:hint="eastAsia"/>
          <w:b/>
          <w:bCs/>
          <w:color w:val="auto"/>
          <w:kern w:val="0"/>
          <w:sz w:val="32"/>
          <w:szCs w:val="32"/>
          <w:highlight w:val="none"/>
        </w:rPr>
        <w:t xml:space="preserve">辖区主要企业部分应急物资储备情况</w:t>
      </w:r>
      <w:bookmarkEnd w:id="226"/>
    </w:p>
    <w:tbl>
      <w:tblPr>
        <w:tblStyle w:val="TableGrid"/>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39"/>
        <w:gridCol w:w="1650"/>
        <w:gridCol w:w="2711"/>
        <w:gridCol w:w="900"/>
        <w:gridCol w:w="675"/>
        <w:gridCol w:w="1999"/>
      </w:tblGrid>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blHeader/>
        </w:trPr>
        <w:tc>
          <w:tcPr>
            <w:tcW w:w="639" w:type="dxa"/>
            <w:vAlign w:val="center"/>
          </w:tcPr>
          <w:p>
            <w:pPr>
              <w:jc w:val="center"/>
              <w:rPr>
                <w:rFonts w:ascii="仿宋" w:eastAsia="仿宋" w:hAnsi="仿宋" w:cs="仿宋" w:hint="eastAsia"/>
                <w:b/>
                <w:bCs/>
                <w:color w:val="auto"/>
                <w:sz w:val="21"/>
                <w:szCs w:val="21"/>
                <w:highlight w:val="none"/>
              </w:rPr>
            </w:pPr>
            <w:r>
              <w:rPr>
                <w:rFonts w:ascii="仿宋" w:eastAsia="仿宋" w:hAnsi="仿宋" w:cs="仿宋" w:hint="eastAsia"/>
                <w:b/>
                <w:bCs/>
                <w:color w:val="auto"/>
                <w:sz w:val="21"/>
                <w:szCs w:val="21"/>
                <w:highlight w:val="none"/>
              </w:rPr>
              <w:t xml:space="preserve">序号</w:t>
            </w:r>
          </w:p>
        </w:tc>
        <w:tc>
          <w:tcPr>
            <w:tcW w:w="1650" w:type="dxa"/>
            <w:vAlign w:val="center"/>
          </w:tcPr>
          <w:p>
            <w:pPr>
              <w:jc w:val="center"/>
              <w:rPr>
                <w:rFonts w:ascii="仿宋" w:eastAsia="仿宋" w:hAnsi="仿宋" w:cs="仿宋" w:hint="eastAsia"/>
                <w:b/>
                <w:bCs/>
                <w:color w:val="auto"/>
                <w:sz w:val="21"/>
                <w:szCs w:val="21"/>
                <w:highlight w:val="none"/>
              </w:rPr>
            </w:pPr>
            <w:r>
              <w:rPr>
                <w:rFonts w:ascii="仿宋" w:eastAsia="仿宋" w:hAnsi="仿宋" w:cs="仿宋" w:hint="eastAsia"/>
                <w:b/>
                <w:bCs/>
                <w:color w:val="auto"/>
                <w:sz w:val="21"/>
                <w:szCs w:val="21"/>
                <w:highlight w:val="none"/>
              </w:rPr>
              <w:t xml:space="preserve">企业名称</w:t>
            </w:r>
          </w:p>
        </w:tc>
        <w:tc>
          <w:tcPr>
            <w:tcW w:w="2711" w:type="dxa"/>
            <w:vAlign w:val="center"/>
          </w:tcPr>
          <w:p>
            <w:pPr>
              <w:jc w:val="center"/>
              <w:rPr>
                <w:rFonts w:ascii="仿宋" w:eastAsia="仿宋" w:hAnsi="仿宋" w:cs="仿宋" w:hint="eastAsia"/>
                <w:b/>
                <w:bCs/>
                <w:color w:val="auto"/>
                <w:sz w:val="21"/>
                <w:szCs w:val="21"/>
                <w:highlight w:val="none"/>
              </w:rPr>
            </w:pPr>
            <w:r>
              <w:rPr>
                <w:rFonts w:ascii="仿宋" w:eastAsia="仿宋" w:hAnsi="仿宋" w:cs="仿宋" w:hint="eastAsia"/>
                <w:b/>
                <w:bCs/>
                <w:color w:val="auto"/>
                <w:sz w:val="21"/>
                <w:szCs w:val="21"/>
                <w:highlight w:val="none"/>
              </w:rPr>
              <w:t xml:space="preserve">应急物资名称</w:t>
            </w:r>
          </w:p>
        </w:tc>
        <w:tc>
          <w:tcPr>
            <w:tcW w:w="900" w:type="dxa"/>
            <w:vAlign w:val="center"/>
          </w:tcPr>
          <w:p>
            <w:pPr>
              <w:jc w:val="center"/>
              <w:rPr>
                <w:rFonts w:ascii="仿宋" w:eastAsia="仿宋" w:hAnsi="仿宋" w:cs="仿宋" w:hint="eastAsia"/>
                <w:b/>
                <w:bCs/>
                <w:color w:val="auto"/>
                <w:sz w:val="21"/>
                <w:szCs w:val="21"/>
                <w:highlight w:val="none"/>
              </w:rPr>
            </w:pPr>
            <w:r>
              <w:rPr>
                <w:rFonts w:ascii="仿宋" w:eastAsia="仿宋" w:hAnsi="仿宋" w:cs="仿宋" w:hint="eastAsia"/>
                <w:b/>
                <w:bCs/>
                <w:color w:val="auto"/>
                <w:sz w:val="21"/>
                <w:szCs w:val="21"/>
                <w:highlight w:val="none"/>
              </w:rPr>
              <w:t xml:space="preserve">单位</w:t>
            </w:r>
          </w:p>
        </w:tc>
        <w:tc>
          <w:tcPr>
            <w:tcW w:w="675" w:type="dxa"/>
            <w:vAlign w:val="center"/>
          </w:tcPr>
          <w:p>
            <w:pPr>
              <w:jc w:val="center"/>
              <w:rPr>
                <w:rFonts w:ascii="仿宋" w:eastAsia="仿宋" w:hAnsi="仿宋" w:cs="仿宋" w:hint="eastAsia"/>
                <w:b/>
                <w:bCs/>
                <w:color w:val="auto"/>
                <w:sz w:val="21"/>
                <w:szCs w:val="21"/>
                <w:highlight w:val="none"/>
              </w:rPr>
            </w:pPr>
            <w:r>
              <w:rPr>
                <w:rFonts w:ascii="仿宋" w:eastAsia="仿宋" w:hAnsi="仿宋" w:cs="仿宋" w:hint="eastAsia"/>
                <w:b/>
                <w:bCs/>
                <w:color w:val="auto"/>
                <w:sz w:val="21"/>
                <w:szCs w:val="21"/>
                <w:highlight w:val="none"/>
              </w:rPr>
              <w:t xml:space="preserve">数量</w:t>
            </w:r>
          </w:p>
        </w:tc>
        <w:tc>
          <w:tcPr>
            <w:tcW w:w="1999" w:type="dxa"/>
            <w:vAlign w:val="center"/>
          </w:tcPr>
          <w:p>
            <w:pPr>
              <w:jc w:val="center"/>
              <w:rPr>
                <w:rFonts w:ascii="仿宋" w:eastAsia="仿宋" w:hAnsi="仿宋" w:cs="仿宋" w:hint="eastAsia"/>
                <w:b/>
                <w:bCs/>
                <w:color w:val="auto"/>
                <w:sz w:val="21"/>
                <w:szCs w:val="21"/>
                <w:highlight w:val="none"/>
              </w:rPr>
            </w:pPr>
            <w:r>
              <w:rPr>
                <w:rFonts w:ascii="仿宋" w:eastAsia="仿宋" w:hAnsi="仿宋" w:cs="仿宋" w:hint="eastAsia"/>
                <w:b/>
                <w:bCs/>
                <w:color w:val="auto"/>
                <w:sz w:val="21"/>
                <w:szCs w:val="21"/>
                <w:highlight w:val="none"/>
              </w:rPr>
              <w:t xml:space="preserve">备注</w:t>
            </w: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Align w:val="center"/>
          </w:tcPr>
          <w:p>
            <w:pPr>
              <w:ind w:left="425" w:hanging="425"/>
              <w:jc w:val="center"/>
              <w:rPr>
                <w:rFonts w:ascii="仿宋" w:eastAsia="仿宋" w:hAnsi="仿宋" w:cs="仿宋" w:hint="eastAsia"/>
                <w:color w:val="auto"/>
                <w:sz w:val="21"/>
                <w:szCs w:val="21"/>
                <w:highlight w:val="none"/>
              </w:rPr>
            </w:pPr>
          </w:p>
        </w:tc>
        <w:tc>
          <w:tcPr>
            <w:tcW w:w="1650" w:type="dxa"/>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PE焊机</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台</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1</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restart"/>
            <w:vAlign w:val="center"/>
          </w:tcPr>
          <w:p>
            <w:pPr>
              <w:numPr>
                <w:ilvl w:val="0"/>
                <w:numId w:val="62"/>
              </w:numPr>
              <w:jc w:val="center"/>
              <w:rPr>
                <w:rFonts w:ascii="仿宋" w:eastAsia="仿宋" w:hAnsi="仿宋" w:cs="仿宋" w:hint="eastAsia"/>
                <w:color w:val="auto"/>
                <w:sz w:val="21"/>
                <w:szCs w:val="21"/>
                <w:highlight w:val="none"/>
              </w:rPr>
            </w:pPr>
          </w:p>
        </w:tc>
        <w:tc>
          <w:tcPr>
            <w:tcW w:w="1650" w:type="dxa"/>
            <w:vMerge w:val="restart"/>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湟中华润燃气有限公司</w:t>
            </w: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正压式空气呼吸器</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套</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2</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隔热服</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套</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4</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火灾逃生面具</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个</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2</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安全带</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条</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2</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气体检漏仪</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台</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2</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对讲机</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部</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2</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急救药品箱</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个</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1</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restart"/>
            <w:vAlign w:val="center"/>
          </w:tcPr>
          <w:p>
            <w:pPr>
              <w:numPr>
                <w:ilvl w:val="0"/>
                <w:numId w:val="62"/>
              </w:numPr>
              <w:jc w:val="center"/>
              <w:rPr>
                <w:rFonts w:ascii="仿宋" w:eastAsia="仿宋" w:hAnsi="仿宋" w:cs="仿宋" w:hint="eastAsia"/>
                <w:color w:val="auto"/>
                <w:sz w:val="21"/>
                <w:szCs w:val="21"/>
                <w:highlight w:val="none"/>
              </w:rPr>
            </w:pPr>
          </w:p>
        </w:tc>
        <w:tc>
          <w:tcPr>
            <w:tcW w:w="1650" w:type="dxa"/>
            <w:vMerge w:val="restart"/>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中国石油青海销售分公司多巴油库</w:t>
            </w: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棉质加厚帐房</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顶</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3</w:t>
            </w:r>
          </w:p>
        </w:tc>
        <w:tc>
          <w:tcPr>
            <w:tcW w:w="1999"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4×5m</w:t>
            </w: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担架</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副</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1</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铍铜簸箕</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个</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10</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铝桶</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个</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9</w:t>
            </w:r>
          </w:p>
        </w:tc>
        <w:tc>
          <w:tcPr>
            <w:tcW w:w="1999"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10L</w:t>
            </w: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铍铜方锨</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把</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10</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铁方锨</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把</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10</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盾牌</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个</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10</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连接式警棍</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根</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8</w:t>
            </w:r>
          </w:p>
        </w:tc>
        <w:tc>
          <w:tcPr>
            <w:tcW w:w="1999"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1.7m</w:t>
            </w: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警棍</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根</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4</w:t>
            </w:r>
          </w:p>
        </w:tc>
        <w:tc>
          <w:tcPr>
            <w:tcW w:w="1999"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0.5m</w:t>
            </w: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钢叉</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把</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5</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隔热服</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套</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2</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中石油应急包</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包</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2</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应急医药箱</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个</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1</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双层防雨服</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套</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15</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雨鞋</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双</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10</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防毒口罩</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个</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9</w:t>
            </w:r>
          </w:p>
        </w:tc>
        <w:tc>
          <w:tcPr>
            <w:tcW w:w="1999"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HCH-C2</w:t>
            </w: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护目镜</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个</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9</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活性炭</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包</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15</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耳塞</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个</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16</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木制堵漏楔</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套</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14</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油库专用防爆工具箱</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套</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2</w:t>
            </w:r>
          </w:p>
        </w:tc>
        <w:tc>
          <w:tcPr>
            <w:tcW w:w="1999"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EX系列50件</w:t>
            </w: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钢制闸阀</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个</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2</w:t>
            </w:r>
          </w:p>
        </w:tc>
        <w:tc>
          <w:tcPr>
            <w:tcW w:w="1999"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DN100</w:t>
            </w: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铸钢闸阀</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个</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2</w:t>
            </w:r>
          </w:p>
        </w:tc>
        <w:tc>
          <w:tcPr>
            <w:tcW w:w="1999"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DN150</w:t>
            </w: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空气呼吸器</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具</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2</w:t>
            </w:r>
          </w:p>
        </w:tc>
        <w:tc>
          <w:tcPr>
            <w:tcW w:w="1999"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RHZK</w:t>
            </w: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手持式金属探测仪</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台</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1</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消防车应急工具</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套</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1</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编织袋</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个</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40</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十字镐</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把</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6</w:t>
            </w:r>
          </w:p>
        </w:tc>
        <w:tc>
          <w:tcPr>
            <w:tcW w:w="1999" w:type="dxa"/>
            <w:vAlign w:val="center"/>
          </w:tcPr>
          <w:p>
            <w:pPr>
              <w:jc w:val="center"/>
              <w:rPr>
                <w:rFonts w:ascii="仿宋" w:eastAsia="仿宋" w:hAnsi="仿宋" w:cs="仿宋" w:hint="eastAsia"/>
                <w:color w:val="auto"/>
                <w:sz w:val="21"/>
                <w:szCs w:val="21"/>
                <w:highlight w:val="none"/>
              </w:rPr>
            </w:pPr>
          </w:p>
        </w:tc>
      </w:tr>
      <w:tr>
        <w:tblPrEx>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639" w:type="dxa"/>
            <w:vMerge/>
            <w:vAlign w:val="center"/>
          </w:tcPr>
          <w:p>
            <w:pPr>
              <w:ind w:left="425" w:hanging="425"/>
              <w:jc w:val="center"/>
              <w:rPr>
                <w:rFonts w:ascii="仿宋" w:eastAsia="仿宋" w:hAnsi="仿宋" w:cs="仿宋" w:hint="eastAsia"/>
                <w:color w:val="auto"/>
                <w:sz w:val="21"/>
                <w:szCs w:val="21"/>
                <w:highlight w:val="none"/>
              </w:rPr>
            </w:pPr>
          </w:p>
        </w:tc>
        <w:tc>
          <w:tcPr>
            <w:tcW w:w="1650" w:type="dxa"/>
            <w:vMerge/>
            <w:vAlign w:val="center"/>
          </w:tcPr>
          <w:p>
            <w:pPr>
              <w:jc w:val="center"/>
              <w:rPr>
                <w:rFonts w:ascii="仿宋" w:eastAsia="仿宋" w:hAnsi="仿宋" w:cs="仿宋" w:hint="eastAsia"/>
                <w:color w:val="auto"/>
                <w:sz w:val="21"/>
                <w:szCs w:val="21"/>
                <w:highlight w:val="none"/>
              </w:rPr>
            </w:pPr>
          </w:p>
        </w:tc>
        <w:tc>
          <w:tcPr>
            <w:tcW w:w="2711"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吸油套装</w:t>
            </w:r>
          </w:p>
        </w:tc>
        <w:tc>
          <w:tcPr>
            <w:tcW w:w="900"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箱</w:t>
            </w:r>
          </w:p>
        </w:tc>
        <w:tc>
          <w:tcPr>
            <w:tcW w:w="675" w:type="dxa"/>
            <w:vAlign w:val="center"/>
          </w:tcPr>
          <w:p>
            <w:pPr>
              <w:jc w:val="center"/>
              <w:rPr>
                <w:rFonts w:ascii="仿宋" w:eastAsia="仿宋" w:hAnsi="仿宋" w:cs="仿宋" w:hint="eastAsia"/>
                <w:color w:val="auto"/>
                <w:sz w:val="21"/>
                <w:szCs w:val="21"/>
                <w:highlight w:val="none"/>
              </w:rPr>
            </w:pPr>
            <w:r>
              <w:rPr>
                <w:rFonts w:ascii="仿宋" w:eastAsia="仿宋" w:hAnsi="仿宋" w:cs="仿宋" w:hint="eastAsia"/>
                <w:color w:val="auto"/>
                <w:sz w:val="21"/>
                <w:szCs w:val="21"/>
                <w:highlight w:val="none"/>
              </w:rPr>
              <w:t xml:space="preserve">4</w:t>
            </w:r>
          </w:p>
        </w:tc>
        <w:tc>
          <w:tcPr>
            <w:tcW w:w="1999" w:type="dxa"/>
            <w:vAlign w:val="center"/>
          </w:tcPr>
          <w:p>
            <w:pPr>
              <w:jc w:val="center"/>
              <w:rPr>
                <w:rFonts w:ascii="仿宋" w:eastAsia="仿宋" w:hAnsi="仿宋" w:cs="仿宋" w:hint="eastAsia"/>
                <w:color w:val="auto"/>
                <w:sz w:val="21"/>
                <w:szCs w:val="21"/>
                <w:highlight w:val="none"/>
              </w:rPr>
            </w:pPr>
          </w:p>
        </w:tc>
      </w:tr>
    </w:tbl>
    <w:p>
      <w:pPr>
        <w:rPr>
          <w:color w:val="auto"/>
          <w:highlight w:val="none"/>
        </w:rPr>
      </w:pPr>
    </w:p>
    <w:sectPr>
      <w:footerReference w:type="default" r:id="rId33"/>
      <w:pgSz w:w="11906" w:h="16838" w:orient="portrait"/>
      <w:pgMar w:top="2098" w:right="1474" w:bottom="1984" w:left="1587" w:header="851" w:footer="1587" w:gutter="0"/>
      <w:pgNumType w:fmt="numberInDash" w:start="1"/>
      <w:cols w:num="1" w:space="0">
        <w:col w:w="8845"/>
      </w:cols>
      <w:rtlGutter w:val="0"/>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Noto Sans CJK JP Regular">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right" w:y="1"/>
      <w:rPr>
        <w:rStyle w:val="PageNumber"/>
      </w:rPr>
    </w:pPr>
    <w:r>
      <w:pgNum/>
    </w:r>
  </w:p>
  <w:p>
    <w:pPr>
      <w:pStyle w:val="Footer"/>
      <w:ind w:right="360"/>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right="360"/>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right="360"/>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right="360"/>
    </w:pPr>
    <w:r>
      <w:pict>
        <v:shape id="_x0000_s0190" o:spid="_x0000_s0262" type="#_x0000_t202" style="height:2in;margin-left:0;margin-top:0;mso-height-relative:page;mso-position-horizontal:right;mso-position-horizontal-relative:margin;mso-width-relative:page;mso-wrap-style:none;position:absolute;width:2in;z-index:251660288" coordsize="21600,21600" filled="f" stroked="f" strokeweight="0.5pt">
          <v:stroke joinstyle="miter"/>
          <v:textbox style="mso-fit-shape-to-text:t" inset="0,0,0,0">
            <w:txbxContent>
              <w:p>
                <w:pPr>
                  <w:pStyle w:val="Foote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xml:space="preserve">2</w:t>
                </w:r>
                <w:r>
                  <w:rPr>
                    <w:sz w:val="28"/>
                    <w:szCs w:val="28"/>
                  </w:rPr>
                  <w:fldChar w:fldCharType="end"/>
                </w:r>
              </w:p>
            </w:txbxContent>
          </v:textbox>
        </v:shape>
      </w:pic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4">
    <w:multiLevelType w:val="singleLevel"/>
    <w:lvl w:ilvl="0">
      <w:start w:val="1"/>
      <w:numFmt w:val="decimal"/>
      <w:suff w:val="tab"/>
      <w:lvlText w:val="%1."/>
      <w:lvlJc w:val="left"/>
      <w:pPr>
        <w:ind w:left="425" w:hanging="425"/>
      </w:pPr>
      <w:rPr>
        <w:rFonts w:hint="default"/>
      </w:rPr>
    </w:lvl>
  </w:abstractNum>
  <w:abstractNum w:abstractNumId="55">
    <w:multiLevelType w:val="singleLevel"/>
    <w:lvl w:ilvl="0">
      <w:start w:val="1"/>
      <w:numFmt w:val="decimal"/>
      <w:suff w:val="tab"/>
      <w:lvlText w:val="%1."/>
      <w:lvlJc w:val="left"/>
      <w:pPr>
        <w:ind w:left="425" w:hanging="425"/>
      </w:pPr>
      <w:rPr>
        <w:rFonts w:hint="default"/>
      </w:rPr>
    </w:lvl>
  </w:abstractNum>
  <w:abstractNum w:abstractNumId="56">
    <w:multiLevelType w:val="singleLevel"/>
    <w:lvl w:ilvl="0">
      <w:start w:val="1"/>
      <w:numFmt w:val="decimal"/>
      <w:suff w:val="tab"/>
      <w:lvlText w:val="(%1)"/>
      <w:lvlJc w:val="left"/>
      <w:pPr>
        <w:ind w:left="425" w:hanging="425"/>
      </w:pPr>
      <w:rPr>
        <w:rFonts w:hint="default"/>
      </w:rPr>
    </w:lvl>
  </w:abstractNum>
  <w:abstractNum w:abstractNumId="57">
    <w:multiLevelType w:val="singleLevel"/>
    <w:lvl w:ilvl="0">
      <w:start w:val="1"/>
      <w:numFmt w:val="decimal"/>
      <w:suff w:val="tab"/>
      <w:lvlText w:val="(%1)"/>
      <w:lvlJc w:val="left"/>
      <w:pPr>
        <w:ind w:left="425" w:hanging="425"/>
      </w:pPr>
      <w:rPr>
        <w:rFonts w:hint="default"/>
      </w:rPr>
    </w:lvl>
  </w:abstractNum>
  <w:abstractNum w:abstractNumId="58">
    <w:multiLevelType w:val="singleLevel"/>
    <w:lvl w:ilvl="0">
      <w:start w:val="1"/>
      <w:numFmt w:val="decimal"/>
      <w:suff w:val="nothing"/>
      <w:lvlText w:val="(%1)"/>
      <w:lvlJc w:val="left"/>
      <w:pPr>
        <w:ind w:left="425" w:hanging="425"/>
      </w:pPr>
      <w:rPr>
        <w:rFonts w:hint="default"/>
      </w:rPr>
    </w:lvl>
  </w:abstractNum>
  <w:abstractNum w:abstractNumId="59">
    <w:multiLevelType w:val="singleLevel"/>
    <w:lvl w:ilvl="0">
      <w:start w:val="1"/>
      <w:numFmt w:val="decimal"/>
      <w:suff w:val="tab"/>
      <w:lvlText w:val="%1."/>
      <w:lvlJc w:val="left"/>
      <w:pPr>
        <w:ind w:left="425" w:hanging="425"/>
      </w:pPr>
      <w:rPr>
        <w:rFonts w:hint="default"/>
      </w:rPr>
    </w:lvl>
  </w:abstractNum>
  <w:abstractNum w:abstractNumId="60">
    <w:multiLevelType w:val="singleLevel"/>
    <w:lvl w:ilvl="0">
      <w:start w:val="1"/>
      <w:numFmt w:val="decimal"/>
      <w:suff w:val="tab"/>
      <w:lvlText w:val="%1."/>
      <w:lvlJc w:val="left"/>
      <w:pPr>
        <w:ind w:left="425" w:hanging="425"/>
      </w:pPr>
      <w:rPr>
        <w:rFonts w:hint="default"/>
      </w:rPr>
    </w:lvl>
  </w:abstractNum>
  <w:abstractNum w:abstractNumId="61">
    <w:multiLevelType w:val="singleLevel"/>
    <w:lvl w:ilvl="0">
      <w:start w:val="1"/>
      <w:numFmt w:val="decimal"/>
      <w:suff w:val="tab"/>
      <w:lvlText w:val="%1."/>
      <w:lvlJc w:val="left"/>
      <w:pPr>
        <w:ind w:left="425" w:hanging="425"/>
      </w:pPr>
      <w:rPr>
        <w:rFonts w:hint="default"/>
      </w:rPr>
    </w:lvl>
  </w:abstractNum>
  <w:abstractNum w:abstractNumId="62">
    <w:multiLevelType w:val="singleLevel"/>
    <w:lvl w:ilvl="0">
      <w:start w:val="1"/>
      <w:numFmt w:val="decimal"/>
      <w:suff w:val="nothing"/>
      <w:lvlText w:val="（%1）"/>
      <w:lvlJc w:val="lef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20"/>
  <w:bordersDoNotSurroundFooter/>
  <w:bordersDoNotSurroundHead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0" w:unhideWhenUsed="0" w:qFormat="1"/>
    <w:lsdException w:name="toc 2" w:uiPriority="0" w:unhideWhenUsed="0" w:qFormat="1"/>
    <w:lsdException w:name="toc 3"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1"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semiHidden="0" w:uiPriority="0" w:unhideWhenUsed="0" w:qFormat="1"/>
    <w:lsdException w:name="Body Text First Indent 2"/>
    <w:lsdException w:name="Body Text 2"/>
    <w:lsdException w:name="Body Text 3"/>
    <w:lsdException w:name="Body Text Indent 2"/>
    <w:lsdException w:name="Body Text Indent 3"/>
    <w:lsdException w:name="Block Text"/>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qFormat/>
    <w:pPr>
      <w:widowControl/>
      <w:ind w:firstLine="200" w:firstLineChars="200"/>
      <w:jc w:val="left"/>
      <w:outlineLvl w:val="2"/>
    </w:pPr>
    <w:rPr>
      <w:rFonts w:ascii="Cambria" w:hAnsi="Cambria"/>
      <w:b/>
      <w:bCs/>
      <w:kern w:val="0"/>
      <w:sz w:val="32"/>
      <w:lang w:eastAsia="en-US" w:bidi="en-US"/>
    </w:rPr>
  </w:style>
  <w:style w:type="character" w:default="1" w:styleId="DefaultParagraphFont">
    <w:name w:val="Default Paragraph Font"/>
    <w:uiPriority w:val="1"/>
    <w:semiHidden/>
    <w:unhideWhenUsed/>
    <w:qFormat/>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paragraph" w:styleId="BodyTextFirstIndent">
    <w:name w:val="Body Text First Indent"/>
    <w:basedOn w:val="BodyText"/>
    <w:next w:val="Normal"/>
    <w:qFormat/>
    <w:pPr>
      <w:ind w:firstLine="420" w:firstLineChars="100"/>
    </w:pPr>
    <w:rPr/>
  </w:style>
  <w:style w:type="paragraph" w:styleId="BodyText">
    <w:name w:val="Body Text"/>
    <w:basedOn w:val="Normal"/>
    <w:uiPriority w:val="1"/>
    <w:qFormat/>
    <w:pPr>
      <w:ind w:left="111"/>
    </w:pPr>
    <w:rPr>
      <w:rFonts w:ascii="Noto Sans CJK JP Regular" w:eastAsia="Noto Sans CJK JP Regular" w:hAnsi="Noto Sans CJK JP Regular" w:cs="Noto Sans CJK JP Regular"/>
      <w:sz w:val="28"/>
      <w:szCs w:val="28"/>
      <w:lang w:val="zh-CN" w:bidi="zh-CN"/>
    </w:rPr>
  </w:style>
  <w:style w:type="paragraph" w:styleId="TOC3">
    <w:name w:val="TOC 3"/>
    <w:basedOn w:val="Normal"/>
    <w:next w:val="Normal"/>
    <w:semiHidden/>
    <w:qFormat/>
    <w:pPr>
      <w:ind w:left="840" w:leftChars="400"/>
    </w:pPr>
    <w:rPr/>
  </w:style>
  <w:style w:type="paragraph" w:styleId="BalloonText">
    <w:name w:val="Balloon Text"/>
    <w:basedOn w:val="Normal"/>
    <w:uiPriority w:val="99"/>
    <w:unhideWhenUsed/>
    <w:qFormat/>
    <w:rPr>
      <w:sz w:val="18"/>
      <w:szCs w:val="18"/>
    </w:r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Header">
    <w:name w:val="Header"/>
    <w:basedOn w:val="Normal"/>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semiHidden/>
    <w:qFormat/>
    <w:rPr/>
  </w:style>
  <w:style w:type="paragraph" w:styleId="TOC2">
    <w:name w:val="TOC 2"/>
    <w:basedOn w:val="Normal"/>
    <w:next w:val="Normal"/>
    <w:semiHidden/>
    <w:qFormat/>
    <w:pPr>
      <w:ind w:left="420" w:leftChars="200"/>
    </w:pPr>
    <w:rPr/>
  </w:style>
  <w:style w:type="paragraph" w:styleId="Normal(Web)">
    <w:name w:val="Normal (Web)"/>
    <w:basedOn w:val="Normal"/>
    <w:qFormat/>
    <w:pPr>
      <w:spacing w:before="100" w:beforeAutospacing="1" w:after="100" w:afterAutospacing="1"/>
      <w:jc w:val="left"/>
    </w:pPr>
    <w:rPr>
      <w:kern w:val="0"/>
      <w:sz w:val="24"/>
    </w:rPr>
  </w:style>
  <w:style w:type="table" w:styleId="TableGrid">
    <w:name w:val="Table Grid"/>
    <w:basedOn w:val="TableNormal"/>
    <w:uiPriority w:val="59"/>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rPr>
  </w:style>
  <w:style w:type="character" w:styleId="PageNumber">
    <w:name w:val="Page Number"/>
    <w:basedOn w:val="DefaultParagraphFont"/>
    <w:qFormat/>
    <w:rPr/>
  </w:style>
  <w:style w:type="character" w:styleId="FollowedHyperlink">
    <w:name w:val="FollowedHyperlink"/>
    <w:basedOn w:val="DefaultParagraphFont"/>
    <w:uiPriority w:val="99"/>
    <w:unhideWhenUsed/>
    <w:qFormat/>
    <w:rPr>
      <w:color w:val="000000"/>
      <w:u w:val="none"/>
    </w:rPr>
  </w:style>
  <w:style w:type="character" w:styleId="Hyperlink">
    <w:name w:val="Hyperlink"/>
    <w:basedOn w:val="DefaultParagraphFont"/>
    <w:qFormat/>
    <w:rPr>
      <w:color w:val="000000"/>
      <w:u w:val="none"/>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character" w:customStyle="1" w:styleId="标题3Char">
    <w:name w:val="标题 3 Char"/>
    <w:basedOn w:val="DefaultParagraphFont"/>
    <w:link w:val="Heading3"/>
    <w:qFormat/>
    <w:rPr>
      <w:rFonts w:ascii="Cambria" w:hAnsi="Cambria"/>
      <w:b/>
      <w:bCs/>
      <w:sz w:val="32"/>
      <w:szCs w:val="22"/>
      <w:lang w:eastAsia="en-US" w:bidi="en-US"/>
    </w:rPr>
  </w:style>
  <w:style w:type="character" w:customStyle="1" w:styleId="页眉Char">
    <w:name w:val="页眉 Char"/>
    <w:basedOn w:val="DefaultParagraphFont"/>
    <w:uiPriority w:val="99"/>
    <w:semiHidden/>
    <w:qFormat/>
    <w:rPr>
      <w:kern w:val="2"/>
      <w:sz w:val="18"/>
      <w:szCs w:val="18"/>
    </w:rPr>
  </w:style>
  <w:style w:type="character" w:customStyle="1" w:styleId="批注框文本Char">
    <w:name w:val="批注框文本 Char"/>
    <w:basedOn w:val="DefaultParagraphFont"/>
    <w:uiPriority w:val="99"/>
    <w:semiHidden/>
    <w:qFormat/>
    <w:rPr>
      <w:sz w:val="18"/>
      <w:szCs w:val="18"/>
    </w:rPr>
  </w:style>
  <w:style w:type="character" w:customStyle="1" w:styleId="标题2Char">
    <w:name w:val="标题 2 Char"/>
    <w:basedOn w:val="DefaultParagraphFont"/>
    <w:link w:val="Heading2"/>
    <w:qFormat/>
    <w:rPr>
      <w:rFonts w:ascii="Arial" w:eastAsia="黑体" w:hAnsi="Arial"/>
      <w:b/>
      <w:bCs/>
      <w:kern w:val="2"/>
      <w:sz w:val="32"/>
      <w:szCs w:val="32"/>
      <w:lang w:val="en-US" w:eastAsia="zh-CN" w:bidi="ar-SA"/>
    </w:rPr>
  </w:style>
  <w:style w:type="character" w:customStyle="1" w:styleId="页脚Char">
    <w:name w:val="页脚 Char"/>
    <w:basedOn w:val="DefaultParagraphFont"/>
    <w:uiPriority w:val="99"/>
    <w:semiHidden/>
    <w:qFormat/>
    <w:rPr>
      <w:kern w:val="2"/>
      <w:sz w:val="18"/>
      <w:szCs w:val="18"/>
    </w:rPr>
  </w:style>
  <w:style w:type="character" w:customStyle="1" w:styleId="heiyh301">
    <w:name w:val="heiyh301"/>
    <w:basedOn w:val="DefaultParagraphFont"/>
    <w:qFormat/>
    <w:rPr>
      <w:rFonts w:ascii="微软雅黑" w:eastAsia="微软雅黑" w:hAnsi="微软雅黑" w:cs="微软雅黑"/>
      <w:color w:val="000000"/>
      <w:spacing w:val="45"/>
      <w:sz w:val="45"/>
      <w:szCs w:val="45"/>
    </w:rPr>
  </w:style>
  <w:style w:type="paragraph" w:styleId="ListParagraph">
    <w:name w:val="List Paragraph"/>
    <w:basedOn w:val="Normal"/>
    <w:uiPriority w:val="1"/>
    <w:qFormat/>
    <w:pPr>
      <w:ind w:left="675" w:hanging="564"/>
    </w:pPr>
    <w:rPr>
      <w:rFonts w:ascii="Noto Sans CJK JP Regular" w:eastAsia="Noto Sans CJK JP Regular" w:hAnsi="Noto Sans CJK JP Regular" w:cs="Noto Sans CJK JP Regular"/>
      <w:lang w:val="zh-CN" w:bidi="zh-CN"/>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header" Target="header1.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theme" Target="theme/theme1.xml" /><Relationship Id="rId35" Type="http://schemas.openxmlformats.org/officeDocument/2006/relationships/styles" Target="styles.xml" /><Relationship Id="rId36" Type="http://schemas.openxmlformats.org/officeDocument/2006/relationships/webSettings" Target="webSettings.xml" /><Relationship Id="rId37" Type="http://schemas.openxmlformats.org/officeDocument/2006/relationships/numbering" Target="numbering.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15.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141"/>
    <customShpInfo spid="_x0000_s1142"/>
    <customShpInfo spid="_x0000_s1143"/>
    <customShpInfo spid="_x0000_s1144"/>
    <customShpInfo spid="_x0000_s1145"/>
    <customShpInfo spid="_x0000_s1146"/>
    <customShpInfo spid="_x0000_s1147"/>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95"/>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6"/>
  </customShpExts>
</s:customData>
</file>

<file path=customXml/item1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1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1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19.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20.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21.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22.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2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2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2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2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2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2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FF6638DE954F4E8D9227F7838015800C</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6</TotalTime>
  <Pages>1</Pages>
  <Words>3868</Words>
  <Characters>22048</Characters>
  <Application>WPS Office_11.1.0.10577_F1E327BC-269C-435d-A152-05C5408002CA</Application>
  <DocSecurity>0</DocSecurity>
  <Lines>183</Lines>
  <Paragraphs>51</Paragraphs>
  <CharactersWithSpaces>25865</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湟中县安全生产事故专项应急预案</dc:title>
  <dc:creator>Administrator</dc:creator>
  <cp:lastModifiedBy>海灵软件—何易佳</cp:lastModifiedBy>
  <cp:revision>7</cp:revision>
  <cp:lastPrinted>2020-06-13T01:13:00Z</cp:lastPrinted>
  <dcterms:created xsi:type="dcterms:W3CDTF">2016-03-25T05:48:00Z</dcterms:created>
  <dcterms:modified xsi:type="dcterms:W3CDTF">2022-03-23T08:44:21Z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2052-11.1.0.10577</vt:lpstr>
  </property>
  <property fmtid="{D5CDD505-2E9C-101B-9397-08002B2CF9AE}" pid="3" name="ICV">
    <vt:lpstr>FF6638DE954F4E8D9227F7838015800C</vt:lpstr>
  </property>
</Properties>
</file>