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仿宋" w:hAnsi="仿宋" w:eastAsia="方正仿宋" w:cs="仿宋"/>
          <w:sz w:val="32"/>
          <w:szCs w:val="32"/>
          <w:lang w:eastAsia="zh-CN"/>
        </w:rPr>
        <w:t>附件</w:t>
      </w:r>
      <w:r>
        <w:rPr>
          <w:rFonts w:hint="eastAsia" w:ascii="方正仿宋" w:hAnsi="仿宋" w:eastAsia="方正仿宋" w:cs="仿宋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2016年易地扶贫搬迁项目投资表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109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07"/>
        <w:gridCol w:w="758"/>
        <w:gridCol w:w="851"/>
        <w:gridCol w:w="992"/>
        <w:gridCol w:w="805"/>
        <w:gridCol w:w="810"/>
        <w:gridCol w:w="595"/>
        <w:gridCol w:w="890"/>
        <w:gridCol w:w="615"/>
        <w:gridCol w:w="960"/>
        <w:gridCol w:w="1062"/>
        <w:gridCol w:w="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安置方式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资金估算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建房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土地费及前期费用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基础设施及公共设施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建房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建设用地费及前期费用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基础设施及公共设施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专项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自筹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专项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自筹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专项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县政府配套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自筹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kern w:val="0"/>
                <w:sz w:val="24"/>
              </w:rPr>
              <w:t>部门配套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集中安置194户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建档卡92户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786 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657.4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1475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736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552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552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384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非建档立卡102户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872 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459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413 </w:t>
            </w: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105.4</w:t>
            </w: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1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自主安置161户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建档立卡103户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881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206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1030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57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从建房补助剩余资金中解决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非建档立卡58户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496 </w:t>
            </w:r>
          </w:p>
        </w:tc>
        <w:tc>
          <w:tcPr>
            <w:tcW w:w="85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116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261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 xml:space="preserve">235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自筹解决116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合计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</w:rPr>
              <w:t>3035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657.4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1797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2486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755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105.4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384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116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总计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5489.4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kern w:val="0"/>
                <w:sz w:val="24"/>
              </w:rPr>
            </w:pPr>
            <w:r>
              <w:rPr>
                <w:rFonts w:hint="eastAsia" w:ascii="方正仿宋" w:hAnsi="方正仿宋" w:eastAsia="方正仿宋" w:cs="方正仿宋"/>
                <w:kern w:val="0"/>
                <w:sz w:val="24"/>
              </w:rPr>
              <w:t>5489.4</w:t>
            </w: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00EA1"/>
    <w:rsid w:val="04600E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2016-07-11T02:14:00Z</dcterms:created>
  <dc:creator>Administrator</dc:creator>
  <cp:lastModifiedBy>Administrator</cp:lastModifiedBy>
  <dcterms:modified xsi:type="dcterms:W3CDTF">2016-07-11T02:17:10Z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