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 w:val="0"/>
        <w:tabs>
          <w:tab w:val="left" w:pos="2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湟中区发展和改革局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2021年度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政府信息公开工作年度报告</w:t>
      </w:r>
      <w:bookmarkEnd w:id="0"/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0" w:firstLineChars="200"/>
        <w:jc w:val="left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一、总体情况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0" w:firstLineChars="200"/>
        <w:jc w:val="left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2021年，我局在区委、区政府的坚强领导下，始终坚持以习近平新时代中国特色社会主义思想和党的十九大、十九届二中、三中、四中、五中六中全会精神为指导，深入贯彻落实《中华人民共和国政府信息公开条例》各项要求，扎实推进政府信息公开工作，不断强化制度建设，深入推进政府信息公开，确保政务公开和工作大局同频共振。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一是</w:t>
      </w: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健全公开机制。将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政务信息公开工作列入了重要议事日程，成立由局一把手任组长、分管领导任副组长、各科室负责人为成员的政府信息公开领导小组。日常工作由局办公室负责，各科室、局属单位配合。</w:t>
      </w:r>
      <w:r>
        <w:rPr>
          <w:rFonts w:ascii="Times New Roman" w:eastAsia="仿宋_GB2312" w:hAnsi="Times New Roman" w:cs="Times New Roman" w:hint="eastAsia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二是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平台建设情况。根据</w:t>
      </w: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区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政</w:t>
      </w: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府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要求，认真做好本部门政务公开</w:t>
      </w: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工作。及时更新内容，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 xml:space="preserve">确保政府信息及时主动公开，提高工作透明度。</w:t>
      </w:r>
    </w:p>
    <w:p>
      <w:pPr>
        <w:widowControl/>
        <w:spacing w:after="240" w:line="432" w:lineRule="atLeast"/>
        <w:ind w:firstLine="56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行政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tabs>
          <w:tab w:val="left" w:pos="1269"/>
        </w:tabs>
        <w:spacing w:after="240"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widowControl/>
        <w:spacing w:after="240" w:line="432" w:lineRule="atLeast"/>
        <w:ind w:firstLine="56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ind w:firstLine="560" w:firstLineChars="200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eastAsia="zh-CN"/>
        </w:rPr>
        <w:t xml:space="preserve">四、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9"/>
        </w:numPr>
        <w:spacing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本年度政府信息公开各项工作扎实有序，取得一些成效，但仍存在一些薄弱环节和问题：</w:t>
      </w:r>
      <w:r>
        <w:rPr>
          <w:rFonts w:ascii="Times New Roman" w:eastAsia="仿宋_GB2312" w:hAnsi="Times New Roman" w:cs="Times New Roman" w:hint="default"/>
          <w:b/>
          <w:bCs/>
          <w:color w:val="333333"/>
          <w:kern w:val="0"/>
          <w:sz w:val="28"/>
          <w:szCs w:val="28"/>
          <w:lang w:eastAsia="zh-CN"/>
        </w:rPr>
        <w:t xml:space="preserve">一是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信息发布和更新效率有待提高，公开的内容还需要进一步细化；</w:t>
      </w:r>
      <w:r>
        <w:rPr>
          <w:rFonts w:ascii="Times New Roman" w:eastAsia="仿宋_GB2312" w:hAnsi="Times New Roman" w:cs="Times New Roman" w:hint="default"/>
          <w:b/>
          <w:bCs/>
          <w:color w:val="333333"/>
          <w:kern w:val="0"/>
          <w:sz w:val="28"/>
          <w:szCs w:val="28"/>
          <w:lang w:eastAsia="zh-CN"/>
        </w:rPr>
        <w:t xml:space="preserve">二是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从事政务公开工作的人员为兼职人员，工作力量明显不足，队伍建设还有待进一步加强。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2022年我局将继续认真贯彻执行《政府信息公开条例》，做好以下工作：</w:t>
      </w:r>
      <w:r>
        <w:rPr>
          <w:rFonts w:ascii="Times New Roman" w:eastAsia="仿宋_GB2312" w:hAnsi="Times New Roman" w:cs="Times New Roman" w:hint="default"/>
          <w:b/>
          <w:bCs/>
          <w:color w:val="333333"/>
          <w:kern w:val="0"/>
          <w:sz w:val="28"/>
          <w:szCs w:val="28"/>
          <w:lang w:eastAsia="zh-CN"/>
        </w:rPr>
        <w:t xml:space="preserve">一是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统一领导，逐级落实，把政府信息公开任务分解到各科室，按各科室职责分工报送各类政府信息，促进我局政府信息公开工作水平稳步提升。</w:t>
      </w:r>
      <w:r>
        <w:rPr>
          <w:rFonts w:ascii="Times New Roman" w:eastAsia="仿宋_GB2312" w:hAnsi="Times New Roman" w:cs="Times New Roman" w:hint="default"/>
          <w:b/>
          <w:bCs/>
          <w:color w:val="333333"/>
          <w:kern w:val="0"/>
          <w:sz w:val="28"/>
          <w:szCs w:val="28"/>
          <w:lang w:eastAsia="zh-CN"/>
        </w:rPr>
        <w:t xml:space="preserve">二是</w:t>
      </w:r>
      <w:r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eastAsia="zh-CN"/>
        </w:rPr>
        <w:t xml:space="preserve">进一步完善政府信息公开工作机制，督促工作人员及时、全面地进行信息公开，同时也要贯彻落实执行保密审查制度，严格遵守保密相关的法律法规，不断提高政府信息公开工作制度化、规范化水平。</w:t>
      </w:r>
    </w:p>
    <w:p>
      <w:pPr>
        <w:widowControl/>
        <w:spacing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  <w:t xml:space="preserve"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eastAsia="zh-CN"/>
        </w:rPr>
        <w:t xml:space="preserve"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eastAsia="zh-CN"/>
        </w:rPr>
        <w:t xml:space="preserve">湟中区发展和改革局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hAnsi="Times New Roman" w:cs="Times New Roman" w:hint="default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                               2022年1月18日</w:t>
      </w:r>
    </w:p>
    <w:sectPr>
      <w:pgSz w:w="11906" w:h="16838" w:orient="portrait"/>
      <w:pgMar w:top="2098" w:right="1474" w:bottom="1984" w:left="1587" w:header="851" w:footer="992" w:gutter="0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singleLevel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7E530453D4CA45B9A0E7ED947034390E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7E530453D4CA45B9A0E7ED947034390E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7E530453D4CA45B9A0E7ED947034390E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7E530453D4CA45B9A0E7ED947034390E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Office_11.1.0.11294_F1E327BC-269C-435d-A152-05C5408002CA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黄娟</cp:lastModifiedBy>
  <cp:revision>1</cp:revision>
  <dcterms:created xsi:type="dcterms:W3CDTF">2022-01-13T06:55:00Z</dcterms:created>
  <dcterms:modified xsi:type="dcterms:W3CDTF">2022-01-19T05:24:34Z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7E530453D4CA45B9A0E7ED947034390E</vt:lpstr>
  </property>
</Properties>
</file>