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9F" w:rsidRDefault="004C7244">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湟中区生态环境局</w:t>
      </w: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年度政府信息</w:t>
      </w:r>
    </w:p>
    <w:p w:rsidR="00896F9F" w:rsidRDefault="004C7244">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公开工作年度报告</w:t>
      </w:r>
    </w:p>
    <w:p w:rsidR="00896F9F" w:rsidRDefault="004C7244">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一、总体情况</w:t>
      </w:r>
    </w:p>
    <w:p w:rsidR="00896F9F" w:rsidRDefault="004C7244">
      <w:pPr>
        <w:ind w:firstLineChars="260" w:firstLine="8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年，在市生态环境局及区委、区政府的正确领导下，我局认真贯彻《</w:t>
      </w:r>
      <w:bookmarkStart w:id="0" w:name="_GoBack"/>
      <w:r>
        <w:rPr>
          <w:rFonts w:ascii="仿宋_GB2312" w:eastAsia="仿宋_GB2312" w:hAnsi="仿宋_GB2312" w:cs="仿宋_GB2312" w:hint="eastAsia"/>
          <w:sz w:val="32"/>
          <w:szCs w:val="32"/>
        </w:rPr>
        <w:t>中华人民共和国政府</w:t>
      </w:r>
      <w:bookmarkEnd w:id="0"/>
      <w:r>
        <w:rPr>
          <w:rFonts w:ascii="仿宋_GB2312" w:eastAsia="仿宋_GB2312" w:hAnsi="仿宋_GB2312" w:cs="仿宋_GB2312" w:hint="eastAsia"/>
          <w:sz w:val="32"/>
          <w:szCs w:val="32"/>
        </w:rPr>
        <w:t>信息公开条例》，深入落实《青海省人民政府办公厅关于印发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年政务公开工作要点的通知》（青政办（</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号），依据生态环境部制定的《生态环境领域基层政务公开标准指引》的文件精神，强化组织领导，健全工作机制，推进生态环境保护决策、执行、管理、服务等公开，全力提升政务公开的质量和效力，助力建设人民满意的服务型政府。一是根据局领导的分工调整，明确分管领导，指定工作人员专门负责全局信息公开工作，并及时报送政府信息公开情况，形</w:t>
      </w:r>
      <w:r>
        <w:rPr>
          <w:rFonts w:ascii="仿宋_GB2312" w:eastAsia="仿宋_GB2312" w:hAnsi="仿宋_GB2312" w:cs="仿宋_GB2312" w:hint="eastAsia"/>
          <w:sz w:val="32"/>
          <w:szCs w:val="32"/>
        </w:rPr>
        <w:t>成主要领导亲自抓、分管领导具体抓、具体工作专人干的工作模式。二是按照“谁公开、谁负责”和“先审查、后公开”原则，实行三级审查制度，对拟公开信息的内容、格式、涉及法律法规等事项进行审签，确保公开内容准确、表述规范，不涉密、不泄密、可公开，做到全程留痕、有据可查。充分利用信息公开栏，在区政府网站进行公示公开，使政务工作更加制度化、规范化，并积极接受干部群众的监督。我局将政府信息公开工作做为推进民主集中制的重要内容，从扩大群众对权力运行的知情权、参与权和监督权出发，推进政府信息公开</w:t>
      </w:r>
      <w:r>
        <w:rPr>
          <w:rFonts w:ascii="仿宋_GB2312" w:eastAsia="仿宋_GB2312" w:hAnsi="仿宋_GB2312" w:cs="仿宋_GB2312" w:hint="eastAsia"/>
          <w:sz w:val="32"/>
          <w:szCs w:val="32"/>
        </w:rPr>
        <w:lastRenderedPageBreak/>
        <w:t>工作，使生态环境部门行政权力得到</w:t>
      </w:r>
      <w:r>
        <w:rPr>
          <w:rFonts w:ascii="仿宋_GB2312" w:eastAsia="仿宋_GB2312" w:hAnsi="仿宋_GB2312" w:cs="仿宋_GB2312" w:hint="eastAsia"/>
          <w:sz w:val="32"/>
          <w:szCs w:val="32"/>
        </w:rPr>
        <w:t>有效制约和监督。截至目前我局在市生态环境局门户网站和湟中区人民政府门户网站及时发布区域生态环境信息、工作动态等，重点公开内容包括以下四类：一是机构信息类，及时公开我局办公地址、常用电话，局领导成员名单和分管工作等基本信息；二是重大工作进展情况（清废行动</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条）；三是行政许可和行政执法类，公开了区生态环境局行政许可（</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条）、行政处罚（</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例）、对企业的监管情况（双随机</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条）等，并完善事项、依据、程序、时限等；四是环境信访类，公开了</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政务热线平台</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12369</w:t>
      </w:r>
      <w:r>
        <w:rPr>
          <w:rFonts w:ascii="仿宋_GB2312" w:eastAsia="仿宋_GB2312" w:hAnsi="仿宋_GB2312" w:cs="仿宋_GB2312" w:hint="eastAsia"/>
          <w:sz w:val="32"/>
          <w:szCs w:val="32"/>
        </w:rPr>
        <w:t>生态环境信访投诉举报管理平台</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件。</w:t>
      </w:r>
    </w:p>
    <w:tbl>
      <w:tblPr>
        <w:tblpPr w:leftFromText="180" w:rightFromText="180" w:vertAnchor="text" w:horzAnchor="page" w:tblpX="1913" w:tblpY="284"/>
        <w:tblOverlap w:val="never"/>
        <w:tblW w:w="8400" w:type="dxa"/>
        <w:tblCellSpacing w:w="0" w:type="dxa"/>
        <w:shd w:val="clear" w:color="auto" w:fill="FFFFFF"/>
        <w:tblLayout w:type="fixed"/>
        <w:tblCellMar>
          <w:left w:w="0" w:type="dxa"/>
          <w:right w:w="0" w:type="dxa"/>
        </w:tblCellMar>
        <w:tblLook w:val="04A0" w:firstRow="1" w:lastRow="0" w:firstColumn="1" w:lastColumn="0" w:noHBand="0" w:noVBand="1"/>
      </w:tblPr>
      <w:tblGrid>
        <w:gridCol w:w="8400"/>
      </w:tblGrid>
      <w:tr w:rsidR="00896F9F">
        <w:trPr>
          <w:trHeight w:val="9633"/>
          <w:tblCellSpacing w:w="0" w:type="dxa"/>
        </w:trPr>
        <w:tc>
          <w:tcPr>
            <w:tcW w:w="8400" w:type="dxa"/>
            <w:shd w:val="clear" w:color="auto" w:fill="FFFFFF"/>
            <w:vAlign w:val="center"/>
          </w:tcPr>
          <w:p w:rsidR="00896F9F" w:rsidRDefault="00896F9F">
            <w:pPr>
              <w:spacing w:line="580" w:lineRule="exact"/>
              <w:ind w:right="1120"/>
              <w:jc w:val="left"/>
              <w:rPr>
                <w:rFonts w:ascii="仿宋_GB2312" w:eastAsia="仿宋_GB2312" w:hAnsi="仿宋_GB2312" w:cs="仿宋_GB2312"/>
                <w:sz w:val="28"/>
                <w:szCs w:val="28"/>
              </w:rPr>
            </w:pPr>
          </w:p>
          <w:p w:rsidR="00896F9F" w:rsidRDefault="004C7244">
            <w:pPr>
              <w:widowControl/>
              <w:spacing w:after="240" w:line="432" w:lineRule="atLeast"/>
              <w:ind w:firstLine="480"/>
              <w:rPr>
                <w:rFonts w:ascii="黑体" w:eastAsia="黑体" w:hAnsi="黑体" w:cs="黑体"/>
                <w:color w:val="333333"/>
                <w:kern w:val="0"/>
                <w:sz w:val="24"/>
              </w:rPr>
            </w:pPr>
            <w:r>
              <w:rPr>
                <w:rFonts w:ascii="黑体" w:eastAsia="黑体" w:hAnsi="黑体" w:cs="黑体" w:hint="eastAsia"/>
                <w:color w:val="333333"/>
                <w:kern w:val="0"/>
                <w:sz w:val="28"/>
                <w:szCs w:val="28"/>
              </w:rPr>
              <w:t>二、主动公开政府信息情况</w:t>
            </w:r>
          </w:p>
          <w:tbl>
            <w:tblPr>
              <w:tblW w:w="0" w:type="auto"/>
              <w:jc w:val="center"/>
              <w:tblLayout w:type="fixed"/>
              <w:tblCellMar>
                <w:left w:w="0" w:type="dxa"/>
                <w:right w:w="0" w:type="dxa"/>
              </w:tblCellMar>
              <w:tblLook w:val="04A0" w:firstRow="1" w:lastRow="0" w:firstColumn="1" w:lastColumn="0" w:noHBand="0" w:noVBand="1"/>
            </w:tblPr>
            <w:tblGrid>
              <w:gridCol w:w="3041"/>
              <w:gridCol w:w="1845"/>
              <w:gridCol w:w="1666"/>
              <w:gridCol w:w="1679"/>
            </w:tblGrid>
            <w:tr w:rsidR="00896F9F">
              <w:trPr>
                <w:trHeight w:val="495"/>
                <w:jc w:val="center"/>
              </w:trPr>
              <w:tc>
                <w:tcPr>
                  <w:tcW w:w="8231"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第二十条第（一）项</w:t>
                  </w:r>
                </w:p>
              </w:tc>
            </w:tr>
            <w:tr w:rsidR="00896F9F">
              <w:trPr>
                <w:trHeight w:val="882"/>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信息内容</w:t>
                  </w:r>
                </w:p>
              </w:tc>
              <w:tc>
                <w:tcPr>
                  <w:tcW w:w="18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本年</w:t>
                  </w:r>
                  <w:r>
                    <w:rPr>
                      <w:rFonts w:ascii="仿宋_GB2312" w:eastAsia="仿宋_GB2312" w:hAnsi="仿宋_GB2312" w:cs="仿宋_GB2312" w:hint="eastAsia"/>
                      <w:kern w:val="0"/>
                      <w:sz w:val="24"/>
                    </w:rPr>
                    <w:t>制</w:t>
                  </w:r>
                  <w:r>
                    <w:rPr>
                      <w:rFonts w:ascii="仿宋_GB2312" w:eastAsia="仿宋_GB2312" w:hAnsi="仿宋_GB2312" w:cs="仿宋_GB2312" w:hint="eastAsia"/>
                      <w:kern w:val="0"/>
                      <w:sz w:val="24"/>
                    </w:rPr>
                    <w:t>发件数</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本年</w:t>
                  </w:r>
                  <w:r>
                    <w:rPr>
                      <w:rFonts w:ascii="仿宋_GB2312" w:eastAsia="仿宋_GB2312" w:hAnsi="仿宋_GB2312" w:cs="仿宋_GB2312" w:hint="eastAsia"/>
                      <w:color w:val="000000"/>
                      <w:kern w:val="0"/>
                      <w:sz w:val="24"/>
                    </w:rPr>
                    <w:t>废止件数</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现行有效件数</w:t>
                  </w:r>
                </w:p>
              </w:tc>
            </w:tr>
            <w:tr w:rsidR="00896F9F">
              <w:trPr>
                <w:trHeight w:val="523"/>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规章</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471"/>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行政</w:t>
                  </w:r>
                  <w:r>
                    <w:rPr>
                      <w:rFonts w:ascii="仿宋_GB2312" w:eastAsia="仿宋_GB2312" w:hAnsi="仿宋_GB2312" w:cs="仿宋_GB2312" w:hint="eastAsia"/>
                      <w:color w:val="000000"/>
                      <w:kern w:val="0"/>
                      <w:sz w:val="24"/>
                    </w:rPr>
                    <w:t>规范性文件</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16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645"/>
                <w:jc w:val="center"/>
              </w:trPr>
              <w:tc>
                <w:tcPr>
                  <w:tcW w:w="8231"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第二十条第（五）项</w:t>
                  </w:r>
                </w:p>
              </w:tc>
            </w:tr>
            <w:tr w:rsidR="00896F9F">
              <w:trPr>
                <w:trHeight w:val="634"/>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信息内容</w:t>
                  </w:r>
                </w:p>
              </w:tc>
              <w:tc>
                <w:tcPr>
                  <w:tcW w:w="519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本年</w:t>
                  </w:r>
                  <w:r>
                    <w:rPr>
                      <w:rFonts w:ascii="仿宋_GB2312" w:eastAsia="仿宋_GB2312" w:hAnsi="仿宋_GB2312" w:cs="仿宋_GB2312" w:hint="eastAsia"/>
                      <w:color w:val="000000"/>
                      <w:kern w:val="0"/>
                      <w:sz w:val="24"/>
                    </w:rPr>
                    <w:t>处理决定数量</w:t>
                  </w:r>
                </w:p>
              </w:tc>
            </w:tr>
            <w:tr w:rsidR="00896F9F">
              <w:trPr>
                <w:trHeight w:val="528"/>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行政许可</w:t>
                  </w:r>
                </w:p>
              </w:tc>
              <w:tc>
                <w:tcPr>
                  <w:tcW w:w="519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17</w:t>
                  </w:r>
                </w:p>
              </w:tc>
            </w:tr>
            <w:tr w:rsidR="00896F9F">
              <w:trPr>
                <w:trHeight w:val="406"/>
                <w:jc w:val="center"/>
              </w:trPr>
              <w:tc>
                <w:tcPr>
                  <w:tcW w:w="8231"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第二十条第（六）项</w:t>
                  </w:r>
                </w:p>
              </w:tc>
            </w:tr>
            <w:tr w:rsidR="00896F9F">
              <w:trPr>
                <w:trHeight w:val="634"/>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信息内容</w:t>
                  </w:r>
                </w:p>
              </w:tc>
              <w:tc>
                <w:tcPr>
                  <w:tcW w:w="519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本年</w:t>
                  </w:r>
                  <w:r>
                    <w:rPr>
                      <w:rFonts w:ascii="仿宋_GB2312" w:eastAsia="仿宋_GB2312" w:hAnsi="仿宋_GB2312" w:cs="仿宋_GB2312" w:hint="eastAsia"/>
                      <w:color w:val="000000"/>
                      <w:kern w:val="0"/>
                      <w:sz w:val="24"/>
                    </w:rPr>
                    <w:t>处理决定数量</w:t>
                  </w:r>
                </w:p>
              </w:tc>
            </w:tr>
            <w:tr w:rsidR="00896F9F">
              <w:trPr>
                <w:trHeight w:val="505"/>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行政处罚</w:t>
                  </w:r>
                </w:p>
              </w:tc>
              <w:tc>
                <w:tcPr>
                  <w:tcW w:w="519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15</w:t>
                  </w:r>
                </w:p>
              </w:tc>
            </w:tr>
            <w:tr w:rsidR="00896F9F">
              <w:trPr>
                <w:trHeight w:val="559"/>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行政强制</w:t>
                  </w:r>
                </w:p>
              </w:tc>
              <w:tc>
                <w:tcPr>
                  <w:tcW w:w="519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474"/>
                <w:jc w:val="center"/>
              </w:trPr>
              <w:tc>
                <w:tcPr>
                  <w:tcW w:w="8231"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第二十条第（八）项</w:t>
                  </w:r>
                </w:p>
              </w:tc>
            </w:tr>
            <w:tr w:rsidR="00896F9F">
              <w:trPr>
                <w:trHeight w:val="612"/>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信息内容</w:t>
                  </w:r>
                </w:p>
              </w:tc>
              <w:tc>
                <w:tcPr>
                  <w:tcW w:w="5190"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本年收费金额（单位：万元）</w:t>
                  </w:r>
                </w:p>
              </w:tc>
            </w:tr>
            <w:tr w:rsidR="00896F9F">
              <w:trPr>
                <w:trHeight w:val="551"/>
                <w:jc w:val="center"/>
              </w:trPr>
              <w:tc>
                <w:tcPr>
                  <w:tcW w:w="3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行政事业性收费</w:t>
                  </w:r>
                </w:p>
              </w:tc>
              <w:tc>
                <w:tcPr>
                  <w:tcW w:w="5190"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bl>
          <w:p w:rsidR="00896F9F" w:rsidRDefault="00896F9F">
            <w:pPr>
              <w:widowControl/>
              <w:spacing w:after="240" w:line="432" w:lineRule="atLeast"/>
              <w:rPr>
                <w:rFonts w:ascii="仿宋_GB2312" w:eastAsia="仿宋_GB2312" w:hAnsi="仿宋_GB2312" w:cs="仿宋_GB2312"/>
                <w:b/>
                <w:bCs/>
                <w:color w:val="333333"/>
                <w:kern w:val="0"/>
                <w:sz w:val="24"/>
              </w:rPr>
            </w:pPr>
          </w:p>
          <w:p w:rsidR="00896F9F" w:rsidRDefault="004C7244">
            <w:pPr>
              <w:widowControl/>
              <w:spacing w:after="240" w:line="432" w:lineRule="atLeast"/>
              <w:rPr>
                <w:rFonts w:ascii="黑体" w:eastAsia="黑体" w:hAnsi="黑体" w:cs="黑体"/>
                <w:color w:val="333333"/>
                <w:kern w:val="0"/>
                <w:sz w:val="28"/>
                <w:szCs w:val="28"/>
              </w:rPr>
            </w:pPr>
            <w:r>
              <w:rPr>
                <w:rFonts w:ascii="黑体" w:eastAsia="黑体" w:hAnsi="黑体" w:cs="黑体" w:hint="eastAsia"/>
                <w:color w:val="333333"/>
                <w:kern w:val="0"/>
                <w:sz w:val="28"/>
                <w:szCs w:val="28"/>
              </w:rPr>
              <w:t>三、收到和处理政府信息公开申请情况</w:t>
            </w:r>
          </w:p>
          <w:tbl>
            <w:tblPr>
              <w:tblW w:w="0" w:type="auto"/>
              <w:jc w:val="center"/>
              <w:tblLayout w:type="fixed"/>
              <w:tblCellMar>
                <w:left w:w="0" w:type="dxa"/>
                <w:right w:w="0" w:type="dxa"/>
              </w:tblCellMar>
              <w:tblLook w:val="04A0" w:firstRow="1" w:lastRow="0" w:firstColumn="1" w:lastColumn="0" w:noHBand="0" w:noVBand="1"/>
            </w:tblPr>
            <w:tblGrid>
              <w:gridCol w:w="616"/>
              <w:gridCol w:w="816"/>
              <w:gridCol w:w="1904"/>
              <w:gridCol w:w="636"/>
              <w:gridCol w:w="667"/>
              <w:gridCol w:w="667"/>
              <w:gridCol w:w="717"/>
              <w:gridCol w:w="855"/>
              <w:gridCol w:w="629"/>
              <w:gridCol w:w="616"/>
            </w:tblGrid>
            <w:tr w:rsidR="00896F9F">
              <w:trPr>
                <w:trHeight w:val="442"/>
                <w:jc w:val="center"/>
              </w:trPr>
              <w:tc>
                <w:tcPr>
                  <w:tcW w:w="3336"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（本列数据的勾稽关系为：第一项加第二项之和，等于第三项加第四项之和）</w:t>
                  </w:r>
                </w:p>
              </w:tc>
              <w:tc>
                <w:tcPr>
                  <w:tcW w:w="4787"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申请人情况</w:t>
                  </w:r>
                </w:p>
              </w:tc>
            </w:tr>
            <w:tr w:rsidR="00896F9F">
              <w:trPr>
                <w:trHeight w:val="462"/>
                <w:jc w:val="center"/>
              </w:trPr>
              <w:tc>
                <w:tcPr>
                  <w:tcW w:w="3336" w:type="dxa"/>
                  <w:gridSpan w:val="3"/>
                  <w:vMerge/>
                  <w:tcBorders>
                    <w:top w:val="single" w:sz="8" w:space="0" w:color="auto"/>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63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自然人</w:t>
                  </w:r>
                </w:p>
              </w:tc>
              <w:tc>
                <w:tcPr>
                  <w:tcW w:w="353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法人或其他组织</w:t>
                  </w:r>
                </w:p>
              </w:tc>
              <w:tc>
                <w:tcPr>
                  <w:tcW w:w="6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总计</w:t>
                  </w:r>
                </w:p>
              </w:tc>
            </w:tr>
            <w:tr w:rsidR="00896F9F">
              <w:trPr>
                <w:trHeight w:val="90"/>
                <w:jc w:val="center"/>
              </w:trPr>
              <w:tc>
                <w:tcPr>
                  <w:tcW w:w="3336" w:type="dxa"/>
                  <w:gridSpan w:val="3"/>
                  <w:vMerge/>
                  <w:tcBorders>
                    <w:top w:val="single" w:sz="8" w:space="0" w:color="auto"/>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63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pacing w:line="260" w:lineRule="exact"/>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商业企业</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pacing w:line="260" w:lineRule="exact"/>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科研机构</w:t>
                  </w:r>
                </w:p>
              </w:tc>
              <w:tc>
                <w:tcPr>
                  <w:tcW w:w="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pacing w:line="260" w:lineRule="exact"/>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社会公益组织</w:t>
                  </w:r>
                </w:p>
              </w:tc>
              <w:tc>
                <w:tcPr>
                  <w:tcW w:w="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pacing w:line="260" w:lineRule="exact"/>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法律服务机构</w:t>
                  </w:r>
                </w:p>
              </w:tc>
              <w:tc>
                <w:tcPr>
                  <w:tcW w:w="6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p>
              </w:tc>
              <w:tc>
                <w:tcPr>
                  <w:tcW w:w="616" w:type="dxa"/>
                  <w:vMerge/>
                  <w:tcBorders>
                    <w:top w:val="single" w:sz="8" w:space="0" w:color="auto"/>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r>
            <w:tr w:rsidR="00896F9F">
              <w:trPr>
                <w:trHeight w:val="307"/>
                <w:jc w:val="center"/>
              </w:trPr>
              <w:tc>
                <w:tcPr>
                  <w:tcW w:w="333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一、本年新收政府信息公开申</w:t>
                  </w:r>
                  <w:r>
                    <w:rPr>
                      <w:rFonts w:ascii="仿宋_GB2312" w:eastAsia="仿宋_GB2312" w:hAnsi="仿宋_GB2312" w:cs="仿宋_GB2312" w:hint="eastAsia"/>
                      <w:kern w:val="0"/>
                      <w:sz w:val="24"/>
                    </w:rPr>
                    <w:lastRenderedPageBreak/>
                    <w:t>请数量</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297"/>
                <w:jc w:val="center"/>
              </w:trPr>
              <w:tc>
                <w:tcPr>
                  <w:tcW w:w="333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二、上年结转政府信息公开申请数量</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582"/>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三、本年度办理结果</w:t>
                  </w:r>
                </w:p>
              </w:tc>
              <w:tc>
                <w:tcPr>
                  <w:tcW w:w="272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（一）予以公开</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272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pacing w:line="300" w:lineRule="exact"/>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（二）部分公开（区分处理的，只计这一情形，不计其他情形）</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477"/>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（三）不予公开</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属于国家秘密</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489"/>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其他法律行政法规禁止公开</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危及“三安全一稳定”</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保护第三方合法权益</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属于三类内部事务信息</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属于四类过程性信息</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7.</w:t>
                  </w:r>
                  <w:r>
                    <w:rPr>
                      <w:rFonts w:ascii="仿宋_GB2312" w:eastAsia="仿宋_GB2312" w:hAnsi="仿宋_GB2312" w:cs="仿宋_GB2312" w:hint="eastAsia"/>
                      <w:kern w:val="0"/>
                      <w:sz w:val="24"/>
                    </w:rPr>
                    <w:t>属于行政执法案卷</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8.</w:t>
                  </w:r>
                  <w:r>
                    <w:rPr>
                      <w:rFonts w:ascii="仿宋_GB2312" w:eastAsia="仿宋_GB2312" w:hAnsi="仿宋_GB2312" w:cs="仿宋_GB2312" w:hint="eastAsia"/>
                      <w:kern w:val="0"/>
                      <w:sz w:val="24"/>
                    </w:rPr>
                    <w:t>属于行政查询事项</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（四）无法提供</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本机关不掌握相关政府信息</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没有现成信息需要另行制作</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补正后申请内容仍不明确</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（五）不予处理</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信访举报投诉类申请</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46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重复申请</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要求提供公开出版物</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无正当理由大量反复申请</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要求行政机关确认或重新出具已获取信息</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42"/>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（六）其他处理</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申请人无正当理由逾期不补正、行政机关不</w:t>
                  </w:r>
                  <w:r>
                    <w:rPr>
                      <w:rFonts w:ascii="仿宋_GB2312" w:eastAsia="仿宋_GB2312" w:hAnsi="仿宋_GB2312" w:cs="仿宋_GB2312" w:hint="eastAsia"/>
                      <w:kern w:val="0"/>
                      <w:sz w:val="24"/>
                    </w:rPr>
                    <w:lastRenderedPageBreak/>
                    <w:t>再处理其政府信息公开申请</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1857"/>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申请人逾期未按收费通知要求缴纳费用，行政机关不再处理其政府信息公开申请</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477"/>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其他</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507"/>
                <w:jc w:val="center"/>
              </w:trPr>
              <w:tc>
                <w:tcPr>
                  <w:tcW w:w="616"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272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（七）总计</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r w:rsidR="00896F9F">
              <w:trPr>
                <w:trHeight w:val="487"/>
                <w:jc w:val="center"/>
              </w:trPr>
              <w:tc>
                <w:tcPr>
                  <w:tcW w:w="333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四、结转下年度继续办理</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bl>
          <w:p w:rsidR="00896F9F" w:rsidRDefault="004C7244">
            <w:pPr>
              <w:widowControl/>
              <w:spacing w:line="432" w:lineRule="atLeast"/>
              <w:rPr>
                <w:rFonts w:ascii="仿宋_GB2312" w:eastAsia="仿宋_GB2312" w:hAnsi="仿宋_GB2312" w:cs="仿宋_GB2312"/>
                <w:b/>
                <w:bCs/>
                <w:color w:val="333333"/>
                <w:kern w:val="0"/>
                <w:sz w:val="28"/>
                <w:szCs w:val="28"/>
              </w:rPr>
            </w:pPr>
            <w:r>
              <w:rPr>
                <w:rFonts w:ascii="黑体" w:eastAsia="黑体" w:hAnsi="黑体" w:cs="黑体" w:hint="eastAsia"/>
                <w:color w:val="333333"/>
                <w:kern w:val="0"/>
                <w:sz w:val="28"/>
                <w:szCs w:val="28"/>
              </w:rPr>
              <w:t>四、</w:t>
            </w:r>
            <w:r>
              <w:rPr>
                <w:rFonts w:ascii="黑体" w:eastAsia="黑体" w:hAnsi="黑体" w:cs="黑体" w:hint="eastAsia"/>
                <w:color w:val="333333"/>
                <w:kern w:val="0"/>
                <w:sz w:val="28"/>
                <w:szCs w:val="28"/>
              </w:rPr>
              <w:t>政府信息公开行政复议、行政诉讼情况</w:t>
            </w:r>
          </w:p>
          <w:tbl>
            <w:tblPr>
              <w:tblW w:w="0" w:type="auto"/>
              <w:jc w:val="center"/>
              <w:tblLayout w:type="fixed"/>
              <w:tblCellMar>
                <w:left w:w="0" w:type="dxa"/>
                <w:right w:w="0" w:type="dxa"/>
              </w:tblCellMar>
              <w:tblLook w:val="04A0" w:firstRow="1" w:lastRow="0" w:firstColumn="1" w:lastColumn="0" w:noHBand="0" w:noVBand="1"/>
            </w:tblPr>
            <w:tblGrid>
              <w:gridCol w:w="515"/>
              <w:gridCol w:w="515"/>
              <w:gridCol w:w="515"/>
              <w:gridCol w:w="515"/>
              <w:gridCol w:w="564"/>
              <w:gridCol w:w="469"/>
              <w:gridCol w:w="516"/>
              <w:gridCol w:w="516"/>
              <w:gridCol w:w="516"/>
              <w:gridCol w:w="519"/>
              <w:gridCol w:w="516"/>
              <w:gridCol w:w="516"/>
              <w:gridCol w:w="516"/>
              <w:gridCol w:w="517"/>
              <w:gridCol w:w="518"/>
            </w:tblGrid>
            <w:tr w:rsidR="00896F9F">
              <w:trPr>
                <w:trHeight w:val="472"/>
                <w:jc w:val="center"/>
              </w:trPr>
              <w:tc>
                <w:tcPr>
                  <w:tcW w:w="26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行政复议</w:t>
                  </w:r>
                </w:p>
              </w:tc>
              <w:tc>
                <w:tcPr>
                  <w:tcW w:w="5119"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行政诉讼</w:t>
                  </w:r>
                </w:p>
              </w:tc>
            </w:tr>
            <w:tr w:rsidR="00896F9F">
              <w:trPr>
                <w:trHeight w:val="492"/>
                <w:jc w:val="center"/>
              </w:trPr>
              <w:tc>
                <w:tcPr>
                  <w:tcW w:w="5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结果维持</w:t>
                  </w:r>
                </w:p>
              </w:tc>
              <w:tc>
                <w:tcPr>
                  <w:tcW w:w="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结果纠正</w:t>
                  </w:r>
                </w:p>
              </w:tc>
              <w:tc>
                <w:tcPr>
                  <w:tcW w:w="5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其他结果</w:t>
                  </w:r>
                </w:p>
              </w:tc>
              <w:tc>
                <w:tcPr>
                  <w:tcW w:w="5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尚未审结</w:t>
                  </w:r>
                </w:p>
              </w:tc>
              <w:tc>
                <w:tcPr>
                  <w:tcW w:w="5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总计</w:t>
                  </w:r>
                </w:p>
              </w:tc>
              <w:tc>
                <w:tcPr>
                  <w:tcW w:w="253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未经复议直接起诉</w:t>
                  </w:r>
                </w:p>
              </w:tc>
              <w:tc>
                <w:tcPr>
                  <w:tcW w:w="258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复议后起诉</w:t>
                  </w:r>
                </w:p>
              </w:tc>
            </w:tr>
            <w:tr w:rsidR="00896F9F">
              <w:trPr>
                <w:trHeight w:val="130"/>
                <w:jc w:val="center"/>
              </w:trPr>
              <w:tc>
                <w:tcPr>
                  <w:tcW w:w="515" w:type="dxa"/>
                  <w:vMerge/>
                  <w:tcBorders>
                    <w:top w:val="nil"/>
                    <w:left w:val="single" w:sz="8" w:space="0" w:color="auto"/>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515" w:type="dxa"/>
                  <w:vMerge/>
                  <w:tcBorders>
                    <w:top w:val="nil"/>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515" w:type="dxa"/>
                  <w:vMerge/>
                  <w:tcBorders>
                    <w:top w:val="single" w:sz="8" w:space="0" w:color="auto"/>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515" w:type="dxa"/>
                  <w:vMerge/>
                  <w:tcBorders>
                    <w:top w:val="single" w:sz="8" w:space="0" w:color="auto"/>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564" w:type="dxa"/>
                  <w:vMerge/>
                  <w:tcBorders>
                    <w:top w:val="single" w:sz="8" w:space="0" w:color="auto"/>
                    <w:left w:val="nil"/>
                    <w:bottom w:val="single" w:sz="8" w:space="0" w:color="auto"/>
                    <w:right w:val="single" w:sz="8" w:space="0" w:color="auto"/>
                  </w:tcBorders>
                  <w:vAlign w:val="center"/>
                </w:tcPr>
                <w:p w:rsidR="00896F9F" w:rsidRDefault="00896F9F">
                  <w:pPr>
                    <w:framePr w:hSpace="180" w:wrap="around" w:vAnchor="text" w:hAnchor="page" w:x="1913" w:y="284"/>
                    <w:widowControl/>
                    <w:suppressOverlap/>
                    <w:jc w:val="left"/>
                    <w:rPr>
                      <w:rFonts w:ascii="仿宋_GB2312" w:eastAsia="仿宋_GB2312" w:hAnsi="仿宋_GB2312" w:cs="仿宋_GB2312"/>
                      <w:kern w:val="0"/>
                      <w:sz w:val="24"/>
                    </w:rPr>
                  </w:pPr>
                </w:p>
              </w:tc>
              <w:tc>
                <w:tcPr>
                  <w:tcW w:w="46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结果维持</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结果纠正</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其他结果</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尚未审结</w:t>
                  </w:r>
                </w:p>
              </w:tc>
              <w:tc>
                <w:tcPr>
                  <w:tcW w:w="5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总计</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结果维持</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结果纠正</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其他结果</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尚未审结</w:t>
                  </w:r>
                </w:p>
              </w:tc>
              <w:tc>
                <w:tcPr>
                  <w:tcW w:w="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color w:val="000000"/>
                      <w:kern w:val="0"/>
                      <w:sz w:val="24"/>
                    </w:rPr>
                    <w:t>总计</w:t>
                  </w:r>
                </w:p>
              </w:tc>
            </w:tr>
            <w:tr w:rsidR="00896F9F">
              <w:trPr>
                <w:trHeight w:val="617"/>
                <w:jc w:val="center"/>
              </w:trPr>
              <w:tc>
                <w:tcPr>
                  <w:tcW w:w="5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46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7"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c>
                <w:tcPr>
                  <w:tcW w:w="518" w:type="dxa"/>
                  <w:tcBorders>
                    <w:top w:val="nil"/>
                    <w:left w:val="nil"/>
                    <w:bottom w:val="single" w:sz="8" w:space="0" w:color="auto"/>
                    <w:right w:val="single" w:sz="8" w:space="0" w:color="auto"/>
                  </w:tcBorders>
                  <w:tcMar>
                    <w:top w:w="0" w:type="dxa"/>
                    <w:left w:w="108" w:type="dxa"/>
                    <w:bottom w:w="0" w:type="dxa"/>
                    <w:right w:w="108" w:type="dxa"/>
                  </w:tcMar>
                  <w:vAlign w:val="center"/>
                </w:tcPr>
                <w:p w:rsidR="00896F9F" w:rsidRDefault="004C7244">
                  <w:pPr>
                    <w:framePr w:hSpace="180" w:wrap="around" w:vAnchor="text" w:hAnchor="page" w:x="1913" w:y="284"/>
                    <w:widowControl/>
                    <w:suppressOverlap/>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0</w:t>
                  </w:r>
                </w:p>
              </w:tc>
            </w:tr>
          </w:tbl>
          <w:p w:rsidR="00896F9F" w:rsidRDefault="004C7244">
            <w:pPr>
              <w:widowControl/>
              <w:numPr>
                <w:ilvl w:val="0"/>
                <w:numId w:val="1"/>
              </w:numPr>
              <w:tabs>
                <w:tab w:val="center" w:pos="4230"/>
              </w:tabs>
              <w:spacing w:line="432" w:lineRule="atLeast"/>
              <w:ind w:firstLine="480"/>
              <w:rPr>
                <w:rFonts w:ascii="黑体" w:eastAsia="黑体" w:hAnsi="黑体" w:cs="黑体"/>
                <w:color w:val="333333"/>
                <w:kern w:val="0"/>
                <w:sz w:val="28"/>
                <w:szCs w:val="28"/>
              </w:rPr>
            </w:pPr>
            <w:r>
              <w:rPr>
                <w:rFonts w:ascii="黑体" w:eastAsia="黑体" w:hAnsi="黑体" w:cs="黑体" w:hint="eastAsia"/>
                <w:color w:val="333333"/>
                <w:kern w:val="0"/>
                <w:sz w:val="28"/>
                <w:szCs w:val="28"/>
              </w:rPr>
              <w:t>存在的主要问题及改进情况</w:t>
            </w:r>
            <w:r>
              <w:rPr>
                <w:rFonts w:ascii="黑体" w:eastAsia="黑体" w:hAnsi="黑体" w:cs="黑体" w:hint="eastAsia"/>
                <w:color w:val="333333"/>
                <w:kern w:val="0"/>
                <w:sz w:val="28"/>
                <w:szCs w:val="28"/>
              </w:rPr>
              <w:tab/>
            </w:r>
          </w:p>
          <w:p w:rsidR="00896F9F" w:rsidRDefault="004C7244">
            <w:pPr>
              <w:pStyle w:val="a3"/>
              <w:widowControl/>
              <w:shd w:val="clear" w:color="auto" w:fill="FFFFFF"/>
              <w:spacing w:beforeAutospacing="0" w:afterAutospacing="0" w:line="630" w:lineRule="atLeast"/>
              <w:ind w:firstLine="645"/>
              <w:textAlignment w:val="baseline"/>
              <w:rPr>
                <w:rFonts w:ascii="微软雅黑" w:eastAsia="微软雅黑" w:hAnsi="微软雅黑" w:cs="微软雅黑"/>
                <w:color w:val="000000"/>
                <w:sz w:val="21"/>
                <w:szCs w:val="21"/>
              </w:rPr>
            </w:pPr>
            <w:r>
              <w:rPr>
                <w:rFonts w:ascii="仿宋" w:eastAsia="仿宋" w:hAnsi="仿宋" w:cs="仿宋" w:hint="eastAsia"/>
                <w:color w:val="000000"/>
                <w:sz w:val="31"/>
                <w:szCs w:val="31"/>
                <w:shd w:val="clear" w:color="auto" w:fill="FFFFFF"/>
              </w:rPr>
              <w:t>存在问题：一是信息公开的格式需进一步规范；二是个别需要公示的信息更新不及时；三是</w:t>
            </w:r>
            <w:r>
              <w:rPr>
                <w:rFonts w:ascii="仿宋" w:eastAsia="仿宋" w:hAnsi="仿宋" w:cs="仿宋"/>
                <w:color w:val="000000"/>
                <w:sz w:val="31"/>
                <w:szCs w:val="31"/>
                <w:shd w:val="clear" w:color="auto" w:fill="FFFFFF"/>
              </w:rPr>
              <w:t>存在公开深度广度不够</w:t>
            </w:r>
            <w:r>
              <w:rPr>
                <w:rFonts w:ascii="仿宋" w:eastAsia="仿宋" w:hAnsi="仿宋" w:cs="仿宋" w:hint="eastAsia"/>
                <w:color w:val="000000"/>
                <w:sz w:val="31"/>
                <w:szCs w:val="31"/>
                <w:shd w:val="clear" w:color="auto" w:fill="FFFFFF"/>
              </w:rPr>
              <w:t>的</w:t>
            </w:r>
            <w:r>
              <w:rPr>
                <w:rFonts w:ascii="仿宋" w:eastAsia="仿宋" w:hAnsi="仿宋" w:cs="仿宋"/>
                <w:color w:val="000000"/>
                <w:sz w:val="31"/>
                <w:szCs w:val="31"/>
                <w:shd w:val="clear" w:color="auto" w:fill="FFFFFF"/>
              </w:rPr>
              <w:t>问题</w:t>
            </w:r>
            <w:r>
              <w:rPr>
                <w:rFonts w:ascii="仿宋" w:eastAsia="仿宋" w:hAnsi="仿宋" w:cs="仿宋" w:hint="eastAsia"/>
                <w:color w:val="000000"/>
                <w:sz w:val="31"/>
                <w:szCs w:val="31"/>
                <w:shd w:val="clear" w:color="auto" w:fill="FFFFFF"/>
              </w:rPr>
              <w:t>。</w:t>
            </w:r>
          </w:p>
          <w:p w:rsidR="00896F9F" w:rsidRDefault="004C7244">
            <w:pPr>
              <w:pStyle w:val="a3"/>
              <w:widowControl/>
              <w:shd w:val="clear" w:color="auto" w:fill="FFFFFF"/>
              <w:spacing w:beforeAutospacing="0" w:afterAutospacing="0" w:line="630" w:lineRule="atLeast"/>
              <w:ind w:firstLine="645"/>
              <w:textAlignment w:val="baseline"/>
              <w:rPr>
                <w:rFonts w:ascii="黑体" w:eastAsia="黑体" w:hAnsi="黑体" w:cs="黑体"/>
                <w:color w:val="333333"/>
                <w:sz w:val="28"/>
                <w:szCs w:val="28"/>
              </w:rPr>
            </w:pPr>
            <w:r>
              <w:rPr>
                <w:rFonts w:ascii="仿宋" w:eastAsia="仿宋" w:hAnsi="仿宋" w:cs="仿宋" w:hint="eastAsia"/>
                <w:color w:val="000000"/>
                <w:sz w:val="31"/>
                <w:szCs w:val="31"/>
                <w:shd w:val="clear" w:color="auto" w:fill="FFFFFF"/>
              </w:rPr>
              <w:t>改进措施：</w:t>
            </w:r>
            <w:r>
              <w:rPr>
                <w:rFonts w:ascii="仿宋" w:eastAsia="仿宋" w:hAnsi="仿宋" w:cs="仿宋"/>
                <w:color w:val="000000"/>
                <w:sz w:val="31"/>
                <w:szCs w:val="31"/>
                <w:shd w:val="clear" w:color="auto" w:fill="FFFFFF"/>
              </w:rPr>
              <w:t>我局已认真研读相关文件，按照文件要求做好政务信息公开工作。</w:t>
            </w:r>
            <w:r>
              <w:rPr>
                <w:rFonts w:ascii="仿宋" w:eastAsia="仿宋" w:hAnsi="仿宋" w:cs="仿宋" w:hint="eastAsia"/>
                <w:color w:val="000000"/>
                <w:sz w:val="31"/>
                <w:szCs w:val="31"/>
                <w:shd w:val="clear" w:color="auto" w:fill="FFFFFF"/>
              </w:rPr>
              <w:t>一是进一步提高认识，切实加强对《政府信息公开条例》的学习宣传。二是充实公开内容。按照“以公开为原则，不公开为例外”的总体要求，进一步做好公开和免予公开两类信息的界定。三是进一步完善相关工作制度，建立健全政务公开工作长效机制，通过规范和完善，扎实推进政务</w:t>
            </w:r>
            <w:r>
              <w:rPr>
                <w:rFonts w:ascii="仿宋" w:eastAsia="仿宋" w:hAnsi="仿宋" w:cs="仿宋" w:hint="eastAsia"/>
                <w:color w:val="000000"/>
                <w:sz w:val="31"/>
                <w:szCs w:val="31"/>
                <w:shd w:val="clear" w:color="auto" w:fill="FFFFFF"/>
              </w:rPr>
              <w:lastRenderedPageBreak/>
              <w:t>公开工作。四是进一步梳理、规范信息公开内容，把涉及人民群众切身利益的各类事项作为重点公开，加大公开力度。</w:t>
            </w:r>
            <w:r>
              <w:rPr>
                <w:rFonts w:ascii="仿宋" w:eastAsia="仿宋" w:hAnsi="仿宋" w:cs="仿宋" w:hint="eastAsia"/>
                <w:color w:val="000000"/>
                <w:sz w:val="31"/>
                <w:szCs w:val="31"/>
                <w:shd w:val="clear" w:color="auto" w:fill="FFFFFF"/>
              </w:rPr>
              <w:t>202</w:t>
            </w:r>
            <w:r>
              <w:rPr>
                <w:rFonts w:ascii="仿宋" w:eastAsia="仿宋" w:hAnsi="仿宋" w:cs="仿宋" w:hint="eastAsia"/>
                <w:color w:val="000000"/>
                <w:sz w:val="31"/>
                <w:szCs w:val="31"/>
                <w:shd w:val="clear" w:color="auto" w:fill="FFFFFF"/>
              </w:rPr>
              <w:t>2</w:t>
            </w:r>
            <w:r>
              <w:rPr>
                <w:rFonts w:ascii="仿宋" w:eastAsia="仿宋" w:hAnsi="仿宋" w:cs="仿宋" w:hint="eastAsia"/>
                <w:color w:val="000000"/>
                <w:sz w:val="31"/>
                <w:szCs w:val="31"/>
                <w:shd w:val="clear" w:color="auto" w:fill="FFFFFF"/>
              </w:rPr>
              <w:t>年，我局将继续认真贯彻政府信息公开工作，确保政府信息公开工作取得更好的成绩。</w:t>
            </w:r>
          </w:p>
          <w:p w:rsidR="00896F9F" w:rsidRDefault="004C7244">
            <w:pPr>
              <w:widowControl/>
              <w:spacing w:line="432" w:lineRule="atLeast"/>
              <w:ind w:firstLine="480"/>
              <w:rPr>
                <w:rFonts w:ascii="黑体" w:eastAsia="黑体" w:hAnsi="黑体" w:cs="黑体"/>
                <w:color w:val="333333"/>
                <w:kern w:val="0"/>
                <w:sz w:val="28"/>
                <w:szCs w:val="28"/>
              </w:rPr>
            </w:pPr>
            <w:r>
              <w:rPr>
                <w:rFonts w:ascii="黑体" w:eastAsia="黑体" w:hAnsi="黑体" w:cs="黑体" w:hint="eastAsia"/>
                <w:color w:val="333333"/>
                <w:kern w:val="0"/>
                <w:sz w:val="28"/>
                <w:szCs w:val="28"/>
              </w:rPr>
              <w:t>六、其他需要报告的事项</w:t>
            </w:r>
          </w:p>
          <w:p w:rsidR="00896F9F" w:rsidRDefault="004C7244">
            <w:pPr>
              <w:widowControl/>
              <w:spacing w:line="432" w:lineRule="atLeast"/>
              <w:ind w:firstLine="48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无</w:t>
            </w:r>
          </w:p>
          <w:p w:rsidR="00896F9F" w:rsidRDefault="00896F9F">
            <w:pPr>
              <w:widowControl/>
              <w:spacing w:line="432" w:lineRule="atLeast"/>
              <w:ind w:firstLine="480"/>
              <w:rPr>
                <w:rFonts w:ascii="仿宋_GB2312" w:eastAsia="仿宋_GB2312" w:hAnsi="仿宋_GB2312" w:cs="仿宋_GB2312"/>
                <w:color w:val="333333"/>
                <w:kern w:val="0"/>
                <w:sz w:val="32"/>
                <w:szCs w:val="32"/>
              </w:rPr>
            </w:pPr>
          </w:p>
          <w:p w:rsidR="00896F9F" w:rsidRDefault="004C7244">
            <w:pPr>
              <w:widowControl/>
              <w:spacing w:line="432" w:lineRule="atLeast"/>
              <w:ind w:firstLine="48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湟中区生态环境局</w:t>
            </w:r>
          </w:p>
          <w:p w:rsidR="00896F9F" w:rsidRDefault="004C7244">
            <w:pPr>
              <w:widowControl/>
              <w:spacing w:line="432" w:lineRule="atLeast"/>
              <w:ind w:firstLineChars="1526" w:firstLine="4883"/>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2022</w:t>
            </w:r>
            <w:r>
              <w:rPr>
                <w:rFonts w:ascii="仿宋_GB2312" w:eastAsia="仿宋_GB2312" w:hAnsi="仿宋_GB2312" w:cs="仿宋_GB2312" w:hint="eastAsia"/>
                <w:color w:val="333333"/>
                <w:kern w:val="0"/>
                <w:sz w:val="32"/>
                <w:szCs w:val="32"/>
              </w:rPr>
              <w:t>年</w:t>
            </w:r>
            <w:r>
              <w:rPr>
                <w:rFonts w:ascii="仿宋_GB2312" w:eastAsia="仿宋_GB2312" w:hAnsi="仿宋_GB2312" w:cs="仿宋_GB2312" w:hint="eastAsia"/>
                <w:color w:val="333333"/>
                <w:kern w:val="0"/>
                <w:sz w:val="32"/>
                <w:szCs w:val="32"/>
              </w:rPr>
              <w:t>1</w:t>
            </w:r>
            <w:r>
              <w:rPr>
                <w:rFonts w:ascii="仿宋_GB2312" w:eastAsia="仿宋_GB2312" w:hAnsi="仿宋_GB2312" w:cs="仿宋_GB2312" w:hint="eastAsia"/>
                <w:color w:val="333333"/>
                <w:kern w:val="0"/>
                <w:sz w:val="32"/>
                <w:szCs w:val="32"/>
              </w:rPr>
              <w:t>月</w:t>
            </w:r>
            <w:r>
              <w:rPr>
                <w:rFonts w:ascii="仿宋_GB2312" w:eastAsia="仿宋_GB2312" w:hAnsi="仿宋_GB2312" w:cs="仿宋_GB2312" w:hint="eastAsia"/>
                <w:color w:val="333333"/>
                <w:kern w:val="0"/>
                <w:sz w:val="32"/>
                <w:szCs w:val="32"/>
              </w:rPr>
              <w:t>18</w:t>
            </w:r>
            <w:r>
              <w:rPr>
                <w:rFonts w:ascii="仿宋_GB2312" w:eastAsia="仿宋_GB2312" w:hAnsi="仿宋_GB2312" w:cs="仿宋_GB2312" w:hint="eastAsia"/>
                <w:color w:val="333333"/>
                <w:kern w:val="0"/>
                <w:sz w:val="32"/>
                <w:szCs w:val="32"/>
              </w:rPr>
              <w:t>日</w:t>
            </w:r>
          </w:p>
        </w:tc>
      </w:tr>
    </w:tbl>
    <w:p w:rsidR="00896F9F" w:rsidRDefault="00896F9F">
      <w:pPr>
        <w:ind w:firstLine="262"/>
        <w:jc w:val="left"/>
      </w:pPr>
    </w:p>
    <w:sectPr w:rsidR="00896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83D8E"/>
    <w:multiLevelType w:val="singleLevel"/>
    <w:tmpl w:val="94583D8E"/>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9F"/>
    <w:rsid w:val="004C7244"/>
    <w:rsid w:val="00896F9F"/>
    <w:rsid w:val="015B6D94"/>
    <w:rsid w:val="016F283F"/>
    <w:rsid w:val="049B78DF"/>
    <w:rsid w:val="0966277A"/>
    <w:rsid w:val="119C142F"/>
    <w:rsid w:val="1347361C"/>
    <w:rsid w:val="14B27F96"/>
    <w:rsid w:val="18567E5D"/>
    <w:rsid w:val="1A1D0C33"/>
    <w:rsid w:val="1C7A236C"/>
    <w:rsid w:val="33A1247D"/>
    <w:rsid w:val="33CC1C63"/>
    <w:rsid w:val="33F80AD3"/>
    <w:rsid w:val="356E08C1"/>
    <w:rsid w:val="36274EBB"/>
    <w:rsid w:val="395F6C6A"/>
    <w:rsid w:val="3D0D4CA8"/>
    <w:rsid w:val="467B08C6"/>
    <w:rsid w:val="4E481A1B"/>
    <w:rsid w:val="4EFF0DD2"/>
    <w:rsid w:val="5402441A"/>
    <w:rsid w:val="64A2280B"/>
    <w:rsid w:val="6A026ACA"/>
    <w:rsid w:val="6A4B221F"/>
    <w:rsid w:val="72F01BB6"/>
    <w:rsid w:val="7C7A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2022-01-13T02:04:00Z</dcterms:created>
  <dcterms:modified xsi:type="dcterms:W3CDTF">2022-06-21T09:00:00Z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3EC47A435DCD47B29419E5805F4486E1</vt:lpwstr>
  </property>
</Properties>
</file>