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spacing w:before="100" w:beforeAutospacing="1" w:after="100" w:afterAutospacing="1"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附件：</w:t>
      </w:r>
    </w:p>
    <w:p>
      <w:pPr>
        <w:spacing w:before="100" w:beforeAutospacing="1" w:after="100" w:afterAutospacing="1" w:line="60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 xml:space="preserve">西宁市湟中区2020年行政企事业单位</w:t>
      </w:r>
    </w:p>
    <w:p>
      <w:pPr>
        <w:spacing w:before="100" w:beforeAutospacing="1" w:after="100" w:afterAutospacing="1" w:line="60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 xml:space="preserve">会计监督检查情况</w:t>
      </w:r>
    </w:p>
    <w:p>
      <w:pPr>
        <w:spacing w:line="580" w:lineRule="exact"/>
        <w:ind w:firstLine="640" w:firstLineChars="20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根据省财政厅统一部署和安排，依据《中华人民共和国会计法》、《预算法》等法律法规和制度规定，区财政局组成检查组对行政事业单位、国有企业、代理记账机构和地方金融机构2020年度会计信息质量进行了检查。主要情况如下：</w:t>
      </w:r>
    </w:p>
    <w:p>
      <w:pPr>
        <w:spacing w:line="580" w:lineRule="exact"/>
        <w:ind w:firstLine="643" w:firstLineChars="200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000000"/>
          <w:sz w:val="32"/>
          <w:szCs w:val="32"/>
        </w:rPr>
        <w:t xml:space="preserve">一、检查情况</w:t>
      </w:r>
    </w:p>
    <w:p>
      <w:pPr>
        <w:spacing w:line="580" w:lineRule="exact"/>
        <w:ind w:firstLine="640" w:firstLineChars="20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区财政局组成检查组，重点围绕行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政事业单位部门预算执行、财务收支核算、国有资产管理、会计基础管理、内控制度建设和实施情况，企业财务核算、财政专项资金使用及代理记账公司机构的设立条件和会计信息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等内容进行了检查。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单位自查4户（湟中县水利局、湟中县教育局、西宁市生态环境局湟中县生态环境局、湟中县人力资源和社会保障局）；重点检查9户（湟中区自然资源局、湟中区文体旅游局、湟中区应急管理局、湟中区司法局、湟中区多巴镇、湟中区土门关乡、湟中税忧会计服务有限公司、湟中区文化旅游开发建设有限公司、青海湟中农村商业银行股份有限公司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</w:t>
      </w:r>
    </w:p>
    <w:p>
      <w:pPr>
        <w:spacing w:line="580" w:lineRule="exact"/>
        <w:ind w:firstLine="640" w:firstLineChars="20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总体来看，被查单位能够按照《政府会计制度》、《政府会计准则》、《企业会计准则》等的规定设置会计账簿，编制财务决算报表，反映了2019年度财务状况及收支情况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</w:t>
      </w:r>
    </w:p>
    <w:p>
      <w:pPr>
        <w:spacing w:before="100" w:beforeAutospacing="1" w:after="100" w:afterAutospacing="1" w:line="600" w:lineRule="exact"/>
        <w:ind w:left="645"/>
        <w:jc w:val="left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 xml:space="preserve">二、检查发现的主要问题及处理情况</w:t>
      </w:r>
    </w:p>
    <w:p>
      <w:pPr>
        <w:pBdr>
          <w:bottom w:val="single" w:sz="4" w:space="13" w:color="FFFFFF"/>
        </w:pBdr>
        <w:spacing w:line="576" w:lineRule="exact"/>
        <w:ind w:firstLine="482" w:firstLineChars="15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（一）存在问题。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一是基础财务管理方面。</w:t>
      </w:r>
      <w:r>
        <w:rPr>
          <w:rFonts w:ascii="仿宋" w:eastAsia="仿宋" w:hAnsi="仿宋" w:cs="仿宋" w:hint="eastAsia"/>
          <w:sz w:val="32"/>
          <w:szCs w:val="32"/>
        </w:rPr>
        <w:t xml:space="preserve">财务管理制度未有效执行。个别单位会计核算原始单据审核不细、附件不完整（缺少合同）、跨年度报消费用、会计核算无审核签字、记账凭证中制单人、记账人、复核人均为同一人；违规大额提现未审批；超标准报销差旅费；会计科目使用不当；</w:t>
      </w:r>
      <w:r>
        <w:rPr>
          <w:rFonts w:ascii="仿宋" w:eastAsia="仿宋" w:hAnsi="仿宋" w:hint="eastAsia"/>
          <w:sz w:val="32"/>
          <w:szCs w:val="32"/>
        </w:rPr>
        <w:t xml:space="preserve">固定资产未及时入账。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二是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内控管理方面。</w:t>
      </w:r>
      <w:r>
        <w:rPr>
          <w:rFonts w:ascii="仿宋" w:eastAsia="仿宋" w:hAnsi="仿宋" w:hint="eastAsia"/>
          <w:sz w:val="32"/>
          <w:szCs w:val="32"/>
        </w:rPr>
        <w:t xml:space="preserve">被检查单位均存在内部控制制度不健全，不完善。</w:t>
      </w:r>
      <w:r>
        <w:rPr>
          <w:rFonts w:ascii="仿宋" w:eastAsia="仿宋" w:hAnsi="仿宋" w:cs="仿宋" w:hint="eastAsia"/>
          <w:sz w:val="32"/>
          <w:szCs w:val="32"/>
        </w:rPr>
        <w:t xml:space="preserve">三是</w:t>
      </w:r>
      <w:r>
        <w:rPr>
          <w:rFonts w:ascii="仿宋" w:eastAsia="仿宋" w:hAnsi="仿宋" w:hint="eastAsia"/>
          <w:b/>
          <w:sz w:val="32"/>
          <w:szCs w:val="32"/>
        </w:rPr>
        <w:t xml:space="preserve">地方金融机构信贷业务方面。</w:t>
      </w:r>
      <w:r>
        <w:rPr>
          <w:rFonts w:ascii="仿宋" w:eastAsia="仿宋" w:hAnsi="仿宋" w:hint="eastAsia"/>
          <w:sz w:val="32"/>
          <w:szCs w:val="32"/>
        </w:rPr>
        <w:t xml:space="preserve">信贷业务贷前调查报告个别内容不准确、贷款利率定价表中个别信息不全、担保合同要素不全，贷后检查频率不足。</w:t>
      </w:r>
    </w:p>
    <w:p>
      <w:pPr>
        <w:pBdr>
          <w:bottom w:val="single" w:sz="4" w:space="13" w:color="FFFFFF"/>
        </w:pBdr>
        <w:spacing w:line="576" w:lineRule="exact"/>
        <w:ind w:firstLine="482" w:firstLineChars="1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（二）处理情况。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针对上述存在的问题，依据有关规定，分别下达了财政监督检查结论。其中：对超标准报销差旅费问题，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应收缴70元，截至2020年9月底，已收缴单位70元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；对固定资产未入账问题，要求单位及时进行账务处理，并定期清查盘点；对</w:t>
      </w:r>
      <w:r>
        <w:rPr>
          <w:rFonts w:ascii="仿宋" w:eastAsia="仿宋" w:hAnsi="仿宋" w:cs="仿宋" w:hint="eastAsia"/>
          <w:sz w:val="32"/>
          <w:szCs w:val="32"/>
        </w:rPr>
        <w:t xml:space="preserve">违规大额提现未审批问题，要求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严格执行</w:t>
      </w:r>
      <w:r>
        <w:rPr>
          <w:rFonts w:ascii="仿宋" w:eastAsia="仿宋" w:hAnsi="仿宋" w:cs="仿宋" w:hint="eastAsia"/>
          <w:sz w:val="32"/>
          <w:szCs w:val="32"/>
        </w:rPr>
        <w:t xml:space="preserve">《现金管理暂行条例》和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公务卡结算制度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。同时要求各单位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严格按照法规、制度规定，进行会计核算，规范会计基础管理工作；制定符合单位实际情况的内控管理制度及 内部控制风险防控办法、进一步健全内控体系。</w:t>
      </w:r>
    </w:p>
    <w:p>
      <w:pPr>
        <w:rPr>
          <w:rFonts w:ascii="仿宋" w:eastAsia="仿宋" w:hAnsi="仿宋"/>
        </w:rPr>
      </w:pPr>
    </w:p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qFormat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2052-11.1.0.10132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2052-11.1.0.10132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196</TotalTime>
  <Pages>3</Pages>
  <Words>174</Words>
  <Characters>997</Characters>
  <Application>WPS Office_11.1.0.10132_F1E327BC-269C-435d-A152-05C5408002CA</Application>
  <DocSecurity>0</DocSecurity>
  <Lines>8</Lines>
  <Paragraphs>2</Paragraphs>
  <CharactersWithSpaces>1169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黄娟</cp:lastModifiedBy>
  <cp:revision>2</cp:revision>
  <cp:lastPrinted>2020-10-19T18:32:00Z</cp:lastPrinted>
  <dcterms:created xsi:type="dcterms:W3CDTF">2020-10-16T13:07:00Z</dcterms:created>
  <dcterms:modified xsi:type="dcterms:W3CDTF">2020-11-20T09:00:21Z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2052-11.1.0.10132</vt:lpstr>
  </property>
</Properties>
</file>