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0"/>
          <w:szCs w:val="4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val="en-US" w:eastAsia="zh-CN"/>
        </w:rPr>
        <w:t xml:space="preserve">湟中区2022年度政府信息公开工作年度报告</w:t>
      </w:r>
    </w:p>
    <w:p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总体情况</w:t>
      </w:r>
    </w:p>
    <w:p>
      <w:pPr>
        <w:pStyle w:val="Normal(Web)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rPr>
          <w:rFonts w:ascii="仿宋_GB2312" w:eastAsia="仿宋_GB2312" w:cs="Arial" w:hint="eastAsia"/>
          <w:sz w:val="32"/>
          <w:szCs w:val="32"/>
          <w:lang w:val="en-US" w:eastAsia="zh-CN"/>
        </w:rPr>
      </w:pPr>
      <w:r>
        <w:rPr>
          <w:rFonts w:ascii="仿宋_GB2312" w:eastAsia="仿宋_GB2312" w:cs="Arial" w:hint="eastAsia"/>
          <w:sz w:val="32"/>
          <w:szCs w:val="32"/>
          <w:lang w:val="en-US" w:eastAsia="zh-CN"/>
        </w:rPr>
        <w:t xml:space="preserve">2022年，湟中区坚持以习近平新时代中国特色社会主义思想为指导，全面贯彻党的二十大精神，认真落实党中央、国务院关于推进政务公开工作决策部署和省委、省政府、市委、市政府和区委部署要求，围绕党委和政府中心工作及群众关注关切，不断完善制度规范，加强政策解读和政务舆情回应，提升政务公开质量和水平，增强人民群众满意度、获得感，推动全区政务公开工作再上新台阶。</w:t>
      </w:r>
    </w:p>
    <w:p>
      <w:pPr>
        <w:pStyle w:val="PlainText"/>
        <w:numPr>
          <w:ilvl w:val="0"/>
          <w:numId w:val="0"/>
        </w:numPr>
      </w:pPr>
    </w:p>
    <w:p>
      <w:pPr>
        <w:spacing w:before="101" w:line="343" w:lineRule="auto"/>
        <w:ind w:left="3" w:right="49" w:firstLine="643" w:firstLineChars="201"/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区政府高度重视政务公开工作，将政务公开作为加强政府自身建设的重要抓手，区政务公开工作领导小组统筹开展政务公开工作，及时研究解决政务公开工作中出现的新情况和新问题。严格落实《中华人民共和国政府信息公开条例》，在政府网站公开发布政府信息公开指南、政府信息公开制度、年度报告等。 2022 年，区政府门户网站主动公开各类信息544条，网站点击量达283 万余次。公开财政预算、决算信息100 条。</w:t>
      </w:r>
    </w:p>
    <w:p>
      <w:pPr>
        <w:spacing w:before="101" w:line="343" w:lineRule="auto"/>
        <w:ind w:left="3" w:right="49" w:firstLine="643" w:firstLineChars="201"/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全面实施“双随机、一公开”监管，通过政府网站、政务新媒体及时公开综合监管和检查执法信息，提高了监管效能和公正性，增强了监管威慑力和公信力。</w:t>
      </w:r>
      <w:r>
        <w:rPr>
          <w:rFonts w:ascii="仿宋_GB2312" w:eastAsia="仿宋_GB2312" w:cs="Arial" w:hint="eastAsia"/>
          <w:kern w:val="0"/>
          <w:sz w:val="32"/>
          <w:szCs w:val="32"/>
          <w:lang w:val="en-US" w:eastAsia="zh-CN"/>
        </w:rPr>
        <w:t xml:space="preserve">通过“微湟中”等官方微信公众号</w:t>
      </w: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依法、及时、准确向社会公开疫情防控动态、防控诊疗方案、就医防护指南、核酸检测机构查询、科普知识宣传等信息2000余条，全方位发布解读关于疫情防控的重大决策部署，让公众实时了解最新疫情动态、应对处置举措和防疫成果，提高公众配合抗疫的自觉性和积极性。</w:t>
      </w:r>
    </w:p>
    <w:p>
      <w:pPr>
        <w:spacing w:before="101" w:line="343" w:lineRule="auto"/>
        <w:ind w:left="3" w:right="49" w:firstLine="643" w:firstLineChars="201"/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按照《中华人民共和国政府信息公开条例》要求，进一步规范依申请答复文书格式，改进完善申请办理方式，畅通线上线下受理渠道</w:t>
      </w:r>
      <w:r>
        <w:rPr>
          <w:rFonts w:ascii="仿宋_GB2312" w:eastAsia="仿宋_GB2312" w:cs="Arial" w:hint="eastAsia"/>
          <w:kern w:val="0"/>
          <w:sz w:val="32"/>
          <w:szCs w:val="32"/>
          <w:lang w:val="en-US" w:eastAsia="zh-CN"/>
        </w:rPr>
        <w:t xml:space="preserve">，</w:t>
      </w: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提高规范办理回复效率，提升依法依规依申请公开办理水平。全年共办理依申请公开9件，已全部及时回复，充分保障了公众知情权、参与权、表达权和监督权。主动回应社会关切，加强舆论引导，围绕人民群众关切的生态环保、交通运输、住房保障</w:t>
      </w:r>
      <w:r>
        <w:rPr>
          <w:rFonts w:ascii="仿宋_GB2312" w:eastAsia="仿宋_GB2312" w:cs="Arial" w:hint="eastAsia"/>
          <w:kern w:val="0"/>
          <w:sz w:val="32"/>
          <w:szCs w:val="32"/>
          <w:lang w:val="en-US" w:eastAsia="zh-CN"/>
        </w:rPr>
        <w:t xml:space="preserve">、</w:t>
      </w: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文化旅游等，特别是加强疫情防控和民生实事信息方面，加强办理机制，认真研究办理群众关切问题，通过政府网站互动栏目收集办理群众关切事项153件，12345各类来电 8401</w:t>
      </w:r>
      <w:r>
        <w:rPr>
          <w:rFonts w:ascii="仿宋_GB2312" w:eastAsia="仿宋_GB2312" w:cs="Arial" w:hint="eastAsia"/>
          <w:kern w:val="0"/>
          <w:sz w:val="32"/>
          <w:szCs w:val="32"/>
          <w:lang w:val="en-US" w:eastAsia="zh-CN"/>
        </w:rPr>
        <w:t xml:space="preserve">件</w:t>
      </w: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，办</w:t>
      </w:r>
      <w:r>
        <w:rPr>
          <w:rFonts w:ascii="仿宋_GB2312" w:eastAsia="仿宋_GB2312" w:cs="Arial" w:hint="eastAsia"/>
          <w:kern w:val="0"/>
          <w:sz w:val="32"/>
          <w:szCs w:val="32"/>
          <w:lang w:val="en-US" w:eastAsia="zh-CN"/>
        </w:rPr>
        <w:t xml:space="preserve">结</w:t>
      </w: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率100%。</w:t>
      </w:r>
    </w:p>
    <w:p>
      <w:pPr>
        <w:spacing w:before="101" w:line="343" w:lineRule="auto"/>
        <w:ind w:left="3" w:right="49" w:firstLine="643" w:firstLineChars="201"/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紧盯平台框架搭建、技术支撑两个关键，积极协调、持续用 力，投资31万元完成了政府网站二级等级保护、政府机房二级等级保护两项重点工作，并</w:t>
      </w:r>
      <w:r>
        <w:rPr>
          <w:rFonts w:ascii="仿宋_GB2312" w:eastAsia="仿宋_GB2312" w:cs="Arial" w:hint="eastAsia"/>
          <w:kern w:val="0"/>
          <w:sz w:val="32"/>
          <w:szCs w:val="32"/>
          <w:lang w:val="en-US" w:eastAsia="zh-CN"/>
        </w:rPr>
        <w:t xml:space="preserve">购买</w:t>
      </w:r>
      <w:r>
        <w:rPr>
          <w:rFonts w:ascii="仿宋_GB2312" w:eastAsia="仿宋_GB2312" w:hAnsi="Calibri" w:cs="Arial" w:hint="eastAsia"/>
          <w:kern w:val="0"/>
          <w:sz w:val="32"/>
          <w:szCs w:val="32"/>
          <w:lang w:val="en-US" w:eastAsia="zh-CN"/>
        </w:rPr>
        <w:t xml:space="preserve">了电信云堤、国产网站ssl协议等网络安全防护产品，进一步提升了全区政府系统网络安全性与稳定性。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3" w:lineRule="auto"/>
        <w:ind w:right="62" w:firstLine="640" w:firstLineChars="200"/>
        <w:textAlignment w:val="baseline"/>
        <w:rPr>
          <w:rFonts w:ascii="仿宋_GB2312" w:eastAsia="仿宋_GB2312" w:hAnsi="Calibri" w:cs="Arial" w:hint="default"/>
          <w:kern w:val="0"/>
          <w:sz w:val="32"/>
          <w:szCs w:val="32"/>
          <w:lang w:val="en-US" w:eastAsia="zh-CN"/>
        </w:rPr>
        <w:sectPr>
          <w:footerReference w:type="default" r:id="rId13"/>
          <w:pgSz w:w="11906" w:h="16839" w:orient="portrait"/>
          <w:pgMar w:top="1431" w:right="1367" w:bottom="1126" w:left="1593" w:header="0" w:footer="844" w:gutter="0"/>
          <w:cols w:num="1" w:space="720">
            <w:col w:w="8946" w:space="720"/>
          </w:cols>
        </w:sectPr>
      </w:pPr>
    </w:p>
    <w:p>
      <w:pPr>
        <w:widowControl/>
        <w:spacing w:after="240" w:line="432" w:lineRule="atLeast"/>
        <w:ind w:firstLine="480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41"/>
        <w:gridCol w:w="1845"/>
        <w:gridCol w:w="1666"/>
        <w:gridCol w:w="1679"/>
      </w:tblGrid>
      <w:tr>
        <w:trPr>
          <w:trHeight w:val="495"/>
          <w:jc w:val="center"/>
        </w:trPr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发件数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现行有效件数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行政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4126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  <w:t xml:space="preserve">3818.8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</w:t>
            </w:r>
          </w:p>
        </w:tc>
      </w:tr>
    </w:tbl>
    <w:p>
      <w:pPr>
        <w:widowControl/>
        <w:spacing w:after="240" w:line="432" w:lineRule="atLeast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</w:rPr>
      </w:pPr>
    </w:p>
    <w:p>
      <w:pPr>
        <w:widowControl/>
        <w:spacing w:after="240" w:line="432" w:lineRule="atLeast"/>
        <w:ind w:firstLine="640" w:firstLineChars="20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816"/>
        <w:gridCol w:w="1904"/>
        <w:gridCol w:w="636"/>
        <w:gridCol w:w="667"/>
        <w:gridCol w:w="667"/>
        <w:gridCol w:w="717"/>
        <w:gridCol w:w="855"/>
        <w:gridCol w:w="629"/>
        <w:gridCol w:w="61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47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5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  <w:jc w:val="center"/>
        </w:trPr>
        <w:tc>
          <w:tcPr>
            <w:tcW w:w="3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3.其他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  <w:jc w:val="center"/>
        </w:trPr>
        <w:tc>
          <w:tcPr>
            <w:tcW w:w="3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pacing w:line="432" w:lineRule="atLeast"/>
        <w:ind w:firstLine="640" w:firstLineChars="200"/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四、</w:t>
      </w: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政府信息公开行政复议、行政诉讼情况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27"/>
        <w:gridCol w:w="508"/>
        <w:gridCol w:w="516"/>
        <w:gridCol w:w="516"/>
        <w:gridCol w:w="517"/>
        <w:gridCol w:w="518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  <w:jc w:val="center"/>
        </w:trPr>
        <w:tc>
          <w:tcPr>
            <w:tcW w:w="26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1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5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numPr>
          <w:ilvl w:val="0"/>
          <w:numId w:val="0"/>
        </w:numPr>
        <w:spacing w:line="432" w:lineRule="atLeast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32" w:lineRule="atLeast"/>
        <w:ind w:left="630" w:left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32" w:lineRule="atLeast"/>
        <w:ind w:left="630" w:left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25"/>
        </w:numPr>
        <w:spacing w:line="432" w:lineRule="atLeast"/>
        <w:ind w:left="150" w:firstLine="480" w:leftChars="0" w:firstLineChars="0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存在的主要问题及改进情况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  <w:t xml:space="preserve">一年来，湟中区政务公开工作取得了一些成效，但工作开展中还存在一些问题需推进解决，主要表现在：</w:t>
      </w:r>
      <w:r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  <w:lang w:val="en-US" w:eastAsia="zh-CN"/>
        </w:rPr>
        <w:t xml:space="preserve">一是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  <w:t xml:space="preserve">政府信息公开专栏中的法定主动公开信息呈现方式不集中，个别信息分散于其它专题栏目，未能最大程度发挥信息公开便捷性的优势。</w:t>
      </w:r>
      <w:bookmarkStart w:id="0" w:name="_GoBack"/>
      <w:r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  <w:lang w:val="en-US" w:eastAsia="zh-CN"/>
        </w:rPr>
        <w:t xml:space="preserve">二是</w:t>
      </w:r>
      <w:bookmarkEnd w:id="0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  <w:t xml:space="preserve">部分乡镇（街道）、部门的领导对政府信息公开工作不够重视，对相关业务干部没有系统的培训，公开内容不规范、质量不达标。在今后工作中将采取以下措施加以改进。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  <w:lang w:val="en-US" w:eastAsia="zh-CN"/>
        </w:rPr>
        <w:t xml:space="preserve">（一）科学调整网页，集中公开内容。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  <w:t xml:space="preserve">进一步对门户网站的各个栏目进行优化调整，对法定主动公开信息按要素、分类别进行重新梳理，在政府信息公开专栏进行集中公开，同时开设政务公开重点工作盘点的专题栏目，集中展示全区政务公开的特色亮点内容，为公众获取政府信息提供了更大的便利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ascii="仿宋_GB2312" w:eastAsia="仿宋_GB2312" w:hAnsi="宋体" w:cs="宋体" w:hint="default"/>
          <w:spacing w:val="8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宋体" w:cs="宋体" w:hint="eastAsia"/>
          <w:b/>
          <w:bCs/>
          <w:spacing w:val="8"/>
          <w:kern w:val="0"/>
          <w:sz w:val="32"/>
          <w:szCs w:val="32"/>
          <w:lang w:val="en-US" w:eastAsia="zh-CN"/>
        </w:rPr>
        <w:t xml:space="preserve">（二）加强培训工作，完善奖惩制度。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val="en-US" w:eastAsia="zh-CN"/>
        </w:rPr>
        <w:t xml:space="preserve">不定期组织全区各级单位政务公开工作相关人员进行培训，提升业务水平，加强责任意识，对于未能保时保质保量完成政务公开工作的单位加强通报，并及时向分管区领导汇报，对于政务公开工作做的不好的单位采取一定的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333333"/>
          <w:kern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pStyle w:val="PlainText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pStyle w:val="样式标题3+首行缩进:2字符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eastAsia="仿宋_GB2312" w:hAnsi="Times New Roman" w:cs="Times New Roman" w:hint="eastAsia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仿宋_GB2312" w:cs="仿宋_GB2312" w:hint="default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  <w:embedRegular r:id="rId1" w:fontKey="{EB6E44CC-8899-4841-A403-D8120DF013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58BB7F-3A62-4C3D-A9FF-A88C96955AEE}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3" w:fontKey="{C67A89F1-A563-47E3-BE38-DB2AC7EA35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3648E5-C2A1-4E51-A970-2BF4341C7D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6FD2B2F-BC8E-4C8C-B473-1A77DA2D32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spacing w:line="186" w:lineRule="auto"/>
      <w:ind w:left="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 xml:space="preserve">— 2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multiLevelType w:val="singleLevel"/>
    <w:lvl w:ilvl="0">
      <w:start w:val="5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25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embedTrueTypeFonts/>
  <w:saveSubset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Tc2ZGZiNzZiNDVlOGViOWVmM2JhOTY0NGJkNjUyYzg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360" w:lineRule="auto"/>
      <w:outlineLvl w:val="2"/>
    </w:pPr>
    <w:rPr>
      <w:rFonts w:ascii="宋体" w:hAnsi="宋体"/>
      <w:b/>
      <w:bCs/>
      <w:sz w:val="24"/>
      <w:szCs w:val="28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黑体"/>
      <w:szCs w:val="24"/>
      <w:lang w:bidi="ar-SA"/>
    </w:rPr>
  </w:style>
  <w:style w:type="paragraph" w:styleId="BodyText">
    <w:name w:val="Body Text"/>
    <w:basedOn w:val="Normal"/>
    <w:qFormat/>
    <w:pPr>
      <w:widowControl/>
      <w:spacing w:after="120"/>
    </w:pPr>
    <w:rPr>
      <w:rFonts w:ascii="Calibri" w:eastAsia="宋体" w:hAnsi="Calibri" w:cs="Times New Roman"/>
      <w:sz w:val="24"/>
      <w:lang w:eastAsia="en-US" w:bidi="en-US"/>
    </w:rPr>
  </w:style>
  <w:style w:type="paragraph" w:styleId="BodyTextIndent">
    <w:name w:val="Body Text Indent"/>
    <w:basedOn w:val="Normal"/>
    <w:next w:val="Normal"/>
    <w:qFormat/>
    <w:pPr>
      <w:spacing w:after="120"/>
      <w:ind w:left="420" w:leftChars="200"/>
    </w:pPr>
    <w:rPr/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BodyTextFirstIndent">
    <w:name w:val="Body Text First Indent"/>
    <w:basedOn w:val="BodyText"/>
    <w:next w:val="Normal"/>
    <w:uiPriority w:val="99"/>
    <w:qFormat/>
    <w:pPr>
      <w:ind w:firstLine="420" w:firstLineChars="100"/>
    </w:pPr>
    <w:rPr>
      <w:rFonts w:eastAsia="宋体"/>
    </w:rPr>
  </w:style>
  <w:style w:type="paragraph" w:customStyle="1" w:styleId="样式标题3+首行缩进:2字符">
    <w:name w:val="样式 标题 3 + 首行缩进:  2 字符"/>
    <w:basedOn w:val="Heading3"/>
    <w:qFormat/>
    <w:pPr>
      <w:spacing w:before="0" w:after="0" w:line="480" w:lineRule="exact"/>
      <w:jc w:val="left"/>
    </w:pPr>
    <w:rPr>
      <w:rFonts w:eastAsia="宋体"/>
      <w:sz w:val="28"/>
      <w:lang w:bidi="ar-DZ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16" Type="http://schemas.openxmlformats.org/officeDocument/2006/relationships/webSettings" Target="webSettings.xml" /><Relationship Id="rId17" Type="http://schemas.openxmlformats.org/officeDocument/2006/relationships/numbering" Target="numbering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1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B4DF698EF6074BBD854B6680716D85A5</vt:lpw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0</Words>
  <Characters>0</Characters>
  <Application>WPS Office_11.1.0.13703_F1E327BC-269C-435d-A152-05C5408002CA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77777</cp:lastModifiedBy>
  <cp:revision>1</cp:revision>
  <dcterms:created xsi:type="dcterms:W3CDTF">2022-01-18T14:07:00Z</dcterms:created>
  <dcterms:modified xsi:type="dcterms:W3CDTF">2023-02-21T01:33:03Z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ICV">
    <vt:lpstr>B4DF698EF6074BBD854B6680716D85A5</vt:lpstr>
  </property>
</Properties>
</file>